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27" w:type="dxa"/>
        <w:tblInd w:w="-256" w:type="dxa"/>
        <w:tblLayout w:type="fixed"/>
        <w:tblCellMar>
          <w:top w:w="0" w:type="dxa"/>
          <w:left w:w="108" w:type="dxa"/>
          <w:bottom w:w="0" w:type="dxa"/>
          <w:right w:w="108" w:type="dxa"/>
        </w:tblCellMar>
      </w:tblPr>
      <w:tblGrid>
        <w:gridCol w:w="7447"/>
        <w:gridCol w:w="1680"/>
      </w:tblGrid>
      <w:tr>
        <w:tblPrEx>
          <w:tblLayout w:type="fixed"/>
          <w:tblCellMar>
            <w:top w:w="0" w:type="dxa"/>
            <w:left w:w="108" w:type="dxa"/>
            <w:bottom w:w="0" w:type="dxa"/>
            <w:right w:w="108" w:type="dxa"/>
          </w:tblCellMar>
        </w:tblPrEx>
        <w:tc>
          <w:tcPr>
            <w:tcW w:w="7447" w:type="dxa"/>
            <w:noWrap w:val="0"/>
            <w:vAlign w:val="top"/>
          </w:tcPr>
          <w:p>
            <w:pPr>
              <w:spacing w:line="840" w:lineRule="exact"/>
              <w:jc w:val="distribute"/>
              <w:rPr>
                <w:rFonts w:hint="eastAsia" w:ascii="华文中宋" w:hAnsi="华文中宋" w:eastAsia="华文中宋"/>
                <w:b/>
                <w:color w:val="FF0000"/>
                <w:spacing w:val="-24"/>
                <w:sz w:val="70"/>
                <w:szCs w:val="70"/>
              </w:rPr>
            </w:pPr>
            <w:r>
              <w:rPr>
                <w:rFonts w:hint="eastAsia" w:ascii="华文中宋" w:hAnsi="华文中宋" w:eastAsia="华文中宋"/>
                <w:b/>
                <w:color w:val="FF0000"/>
                <w:spacing w:val="-24"/>
                <w:sz w:val="70"/>
                <w:szCs w:val="70"/>
              </w:rPr>
              <w:t>柳州市发展和改革委员会</w:t>
            </w:r>
          </w:p>
        </w:tc>
        <w:tc>
          <w:tcPr>
            <w:tcW w:w="1680" w:type="dxa"/>
            <w:vMerge w:val="restart"/>
            <w:noWrap w:val="0"/>
            <w:vAlign w:val="center"/>
          </w:tcPr>
          <w:p>
            <w:pPr>
              <w:spacing w:line="840" w:lineRule="exact"/>
              <w:jc w:val="center"/>
              <w:rPr>
                <w:rFonts w:hint="eastAsia" w:ascii="华文中宋" w:hAnsi="华文中宋" w:eastAsia="华文中宋"/>
                <w:b/>
                <w:color w:val="FF0000"/>
                <w:spacing w:val="-24"/>
                <w:sz w:val="70"/>
                <w:szCs w:val="70"/>
              </w:rPr>
            </w:pPr>
            <w:r>
              <w:rPr>
                <w:rFonts w:hint="eastAsia" w:ascii="华文中宋" w:hAnsi="华文中宋" w:eastAsia="华文中宋"/>
                <w:b/>
                <w:color w:val="FF0000"/>
                <w:spacing w:val="-24"/>
                <w:sz w:val="70"/>
                <w:szCs w:val="70"/>
              </w:rPr>
              <w:t>文件</w:t>
            </w:r>
          </w:p>
        </w:tc>
      </w:tr>
      <w:tr>
        <w:tblPrEx>
          <w:tblLayout w:type="fixed"/>
          <w:tblCellMar>
            <w:top w:w="0" w:type="dxa"/>
            <w:left w:w="108" w:type="dxa"/>
            <w:bottom w:w="0" w:type="dxa"/>
            <w:right w:w="108" w:type="dxa"/>
          </w:tblCellMar>
        </w:tblPrEx>
        <w:tc>
          <w:tcPr>
            <w:tcW w:w="7447" w:type="dxa"/>
            <w:noWrap w:val="0"/>
            <w:vAlign w:val="top"/>
          </w:tcPr>
          <w:p>
            <w:pPr>
              <w:spacing w:line="840" w:lineRule="exact"/>
              <w:jc w:val="distribute"/>
              <w:rPr>
                <w:rFonts w:hint="eastAsia" w:ascii="华文中宋" w:hAnsi="华文中宋" w:eastAsia="华文中宋"/>
                <w:b/>
                <w:color w:val="FF0000"/>
                <w:spacing w:val="-24"/>
                <w:sz w:val="70"/>
                <w:szCs w:val="70"/>
              </w:rPr>
            </w:pPr>
            <w:r>
              <w:rPr>
                <w:rFonts w:hint="eastAsia" w:ascii="华文中宋" w:hAnsi="华文中宋" w:eastAsia="华文中宋"/>
                <w:b/>
                <w:color w:val="FF0000"/>
                <w:spacing w:val="-24"/>
                <w:sz w:val="70"/>
                <w:szCs w:val="70"/>
              </w:rPr>
              <w:t>柳州市财政局</w:t>
            </w:r>
          </w:p>
          <w:p>
            <w:pPr>
              <w:spacing w:line="840" w:lineRule="exact"/>
              <w:jc w:val="distribute"/>
              <w:rPr>
                <w:rFonts w:hint="eastAsia" w:ascii="华文中宋" w:hAnsi="华文中宋" w:eastAsia="华文中宋"/>
                <w:b/>
                <w:color w:val="FF0000"/>
                <w:spacing w:val="-78"/>
                <w:sz w:val="70"/>
                <w:szCs w:val="70"/>
                <w:lang w:val="en-US" w:eastAsia="zh-CN"/>
              </w:rPr>
            </w:pPr>
            <w:r>
              <w:rPr>
                <w:rFonts w:hint="eastAsia" w:ascii="华文中宋" w:hAnsi="华文中宋" w:eastAsia="华文中宋"/>
                <w:b/>
                <w:color w:val="FF0000"/>
                <w:spacing w:val="-78"/>
                <w:sz w:val="70"/>
                <w:szCs w:val="70"/>
              </w:rPr>
              <w:t>柳州市</w:t>
            </w:r>
            <w:r>
              <w:rPr>
                <w:rFonts w:hint="eastAsia" w:ascii="华文中宋" w:hAnsi="华文中宋" w:eastAsia="华文中宋"/>
                <w:b/>
                <w:color w:val="FF0000"/>
                <w:spacing w:val="-78"/>
                <w:sz w:val="70"/>
                <w:szCs w:val="70"/>
                <w:lang w:eastAsia="zh-CN"/>
              </w:rPr>
              <w:t>教育局</w:t>
            </w:r>
          </w:p>
        </w:tc>
        <w:tc>
          <w:tcPr>
            <w:tcW w:w="1680" w:type="dxa"/>
            <w:vMerge w:val="continue"/>
            <w:noWrap w:val="0"/>
            <w:vAlign w:val="top"/>
          </w:tcPr>
          <w:p>
            <w:pPr>
              <w:spacing w:line="840" w:lineRule="exact"/>
              <w:jc w:val="distribute"/>
              <w:rPr>
                <w:rFonts w:hint="eastAsia" w:ascii="华文中宋" w:hAnsi="华文中宋" w:eastAsia="华文中宋"/>
                <w:b/>
                <w:color w:val="FF0000"/>
                <w:spacing w:val="-24"/>
                <w:sz w:val="70"/>
                <w:szCs w:val="70"/>
              </w:rPr>
            </w:pPr>
          </w:p>
        </w:tc>
      </w:tr>
    </w:tbl>
    <w:p>
      <w:pPr>
        <w:autoSpaceDE w:val="0"/>
        <w:autoSpaceDN w:val="0"/>
        <w:adjustRightInd w:val="0"/>
        <w:spacing w:line="437" w:lineRule="exact"/>
        <w:jc w:val="left"/>
        <w:rPr>
          <w:rFonts w:ascii="华文中宋" w:hAnsi="华文中宋" w:eastAsia="华文中宋"/>
          <w:b/>
          <w:color w:val="FF0000"/>
          <w:spacing w:val="-24"/>
          <w:sz w:val="72"/>
          <w:szCs w:val="72"/>
        </w:rPr>
      </w:pPr>
    </w:p>
    <w:p>
      <w:pPr>
        <w:autoSpaceDE w:val="0"/>
        <w:autoSpaceDN w:val="0"/>
        <w:adjustRightInd w:val="0"/>
        <w:spacing w:line="437" w:lineRule="exact"/>
        <w:jc w:val="left"/>
        <w:rPr>
          <w:rFonts w:ascii="华文中宋" w:hAnsi="华文中宋" w:eastAsia="华文中宋"/>
          <w:b/>
          <w:color w:val="FF0000"/>
          <w:spacing w:val="-24"/>
          <w:sz w:val="72"/>
          <w:szCs w:val="72"/>
        </w:rPr>
      </w:pPr>
    </w:p>
    <w:p>
      <w:pPr>
        <w:spacing w:line="437"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柳发改</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autoSpaceDE w:val="0"/>
        <w:autoSpaceDN w:val="0"/>
        <w:adjustRightInd w:val="0"/>
        <w:spacing w:line="437" w:lineRule="exact"/>
        <w:jc w:val="left"/>
        <w:rPr>
          <w:rFonts w:eastAsia="仿宋_GB2312" w:cs="华文中宋"/>
          <w:b/>
          <w:bCs/>
          <w:color w:val="FF0000"/>
          <w:sz w:val="32"/>
          <w:szCs w:val="32"/>
          <w:lang w:val="zh-CN"/>
        </w:rPr>
      </w:pPr>
      <w:r>
        <w:rPr>
          <w:rFonts w:ascii="华文中宋" w:hAnsi="华文中宋" w:eastAsia="华文中宋"/>
          <w:b/>
          <w:color w:val="FF0000"/>
          <w:spacing w:val="-24"/>
          <w:sz w:val="72"/>
          <w:szCs w:val="72"/>
        </w:rPr>
        <w:drawing>
          <wp:inline distT="0" distB="0" distL="114300" distR="114300">
            <wp:extent cx="5404485" cy="7493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04485" cy="74930"/>
                    </a:xfrm>
                    <a:prstGeom prst="rect">
                      <a:avLst/>
                    </a:prstGeom>
                    <a:noFill/>
                    <a:ln w="9525">
                      <a:noFill/>
                    </a:ln>
                  </pic:spPr>
                </pic:pic>
              </a:graphicData>
            </a:graphic>
          </wp:inline>
        </w:drawing>
      </w:r>
    </w:p>
    <w:p>
      <w:pPr>
        <w:autoSpaceDE w:val="0"/>
        <w:autoSpaceDN w:val="0"/>
        <w:adjustRightInd w:val="0"/>
        <w:spacing w:line="437" w:lineRule="exact"/>
        <w:jc w:val="left"/>
        <w:rPr>
          <w:rFonts w:eastAsia="仿宋_GB2312" w:cs="华文中宋"/>
          <w:b/>
          <w:bCs/>
          <w:color w:val="FF0000"/>
          <w:sz w:val="32"/>
          <w:szCs w:val="32"/>
          <w:lang w:val="zh-CN"/>
        </w:rPr>
      </w:pPr>
    </w:p>
    <w:p>
      <w:pPr>
        <w:spacing w:line="437"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柳州市发展和改革委员会 柳州市财政局 </w:t>
      </w:r>
    </w:p>
    <w:p>
      <w:pPr>
        <w:spacing w:line="437"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柳州市教育局关于调整柳州市辖区公办</w:t>
      </w:r>
    </w:p>
    <w:p>
      <w:pPr>
        <w:spacing w:line="437"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幼儿园保育教育费收费标准</w:t>
      </w:r>
    </w:p>
    <w:p>
      <w:pPr>
        <w:spacing w:line="437" w:lineRule="exact"/>
        <w:jc w:val="center"/>
        <w:rPr>
          <w:rFonts w:ascii="方正小标宋简体" w:eastAsia="方正小标宋简体"/>
          <w:sz w:val="28"/>
          <w:szCs w:val="28"/>
        </w:rPr>
      </w:pPr>
      <w:r>
        <w:rPr>
          <w:rFonts w:hint="eastAsia" w:ascii="方正小标宋简体" w:hAnsi="宋体" w:eastAsia="方正小标宋简体"/>
          <w:sz w:val="44"/>
          <w:szCs w:val="44"/>
        </w:rPr>
        <w:t>有关问题的通知</w:t>
      </w:r>
    </w:p>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eastAsia="仿宋_GB2312"/>
          <w:sz w:val="32"/>
          <w:szCs w:val="32"/>
        </w:rPr>
      </w:pPr>
      <w:r>
        <w:rPr>
          <w:rFonts w:hint="eastAsia" w:ascii="仿宋_GB2312" w:eastAsia="仿宋_GB2312"/>
          <w:sz w:val="32"/>
          <w:szCs w:val="32"/>
        </w:rPr>
        <w:t>各城区（新区）发展改革局（经济发展局）、教育局、财政局，市区各公办幼儿园：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为进一步完善学前教育成本分担机制，提升我市公办幼儿园办园水平，保障人民群众对高质量学前教育的需求，根据《中共中央 国务院关于学前教育深化改革规范发展的若干意见》（中发〔2018〕39号）、《国家发展改革委 教育部 财政部关于印发〈幼儿园收费管理暂行办法〉的通知》（发改价格〔2011〕3207号）、《自治区党委 自治区人民政府印发〈关于学前教育深化改革规范发展的实施意见〉的通知》（桂发〔2019〕10号）、中共柳州市委员会 柳州市人民政府关于印发《柳州市学前教育深化改革规范发展的实施方案》的通知（柳发〔2019〕18号）等文件精神，结合我市实际，经市人民政府批准，决定对我市市辖区公办幼儿园收费标准进行适当调整，现就有关事项通知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一、幼儿园可按规定向入园幼儿收取保育教育费（以下简称保教费）、伙食费，对全托班可收取住宿费。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幼儿园收取其它服务性收费和代收费由自治区价格主管部门会自治区财政、教育部门另行制定下达。</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二、公办幼儿园保教费实行分类分级管理，收费标准按下表分两步进行调整。</w:t>
      </w:r>
    </w:p>
    <w:p>
      <w:pPr>
        <w:keepNext w:val="0"/>
        <w:keepLines w:val="0"/>
        <w:pageBreakBefore w:val="0"/>
        <w:kinsoku/>
        <w:wordWrap/>
        <w:overflowPunct/>
        <w:topLinePunct w:val="0"/>
        <w:autoSpaceDE/>
        <w:autoSpaceDN/>
        <w:bidi w:val="0"/>
        <w:adjustRightInd/>
        <w:snapToGrid/>
        <w:spacing w:line="400" w:lineRule="exact"/>
        <w:ind w:right="480" w:firstLine="562" w:firstLineChars="200"/>
        <w:jc w:val="center"/>
        <w:textAlignment w:val="auto"/>
        <w:outlineLvl w:val="9"/>
        <w:rPr>
          <w:rFonts w:ascii="仿宋_GB2312" w:eastAsia="仿宋_GB2312"/>
          <w:b/>
          <w:bCs/>
          <w:color w:val="000000"/>
          <w:kern w:val="0"/>
          <w:sz w:val="28"/>
          <w:szCs w:val="28"/>
        </w:rPr>
      </w:pPr>
      <w:r>
        <w:rPr>
          <w:rFonts w:hint="eastAsia" w:ascii="仿宋_GB2312" w:eastAsia="仿宋_GB2312" w:cs="新宋体"/>
          <w:b/>
          <w:color w:val="000000"/>
          <w:sz w:val="28"/>
          <w:szCs w:val="28"/>
        </w:rPr>
        <w:t xml:space="preserve">                                     单位:</w:t>
      </w:r>
      <w:r>
        <w:rPr>
          <w:rFonts w:hint="eastAsia" w:ascii="仿宋_GB2312" w:eastAsia="仿宋_GB2312"/>
          <w:b/>
          <w:bCs/>
          <w:color w:val="000000"/>
          <w:kern w:val="0"/>
          <w:sz w:val="28"/>
          <w:szCs w:val="28"/>
        </w:rPr>
        <w:t xml:space="preserve"> 元/人·月</w:t>
      </w:r>
    </w:p>
    <w:tbl>
      <w:tblPr>
        <w:tblStyle w:val="6"/>
        <w:tblW w:w="8755" w:type="dxa"/>
        <w:tblInd w:w="0" w:type="dxa"/>
        <w:tblLayout w:type="fixed"/>
        <w:tblCellMar>
          <w:top w:w="0" w:type="dxa"/>
          <w:left w:w="108" w:type="dxa"/>
          <w:bottom w:w="0" w:type="dxa"/>
          <w:right w:w="108" w:type="dxa"/>
        </w:tblCellMar>
      </w:tblPr>
      <w:tblGrid>
        <w:gridCol w:w="1901"/>
        <w:gridCol w:w="1751"/>
        <w:gridCol w:w="1701"/>
        <w:gridCol w:w="1701"/>
        <w:gridCol w:w="1701"/>
      </w:tblGrid>
      <w:tr>
        <w:tblPrEx>
          <w:tblLayout w:type="fixed"/>
          <w:tblCellMar>
            <w:top w:w="0" w:type="dxa"/>
            <w:left w:w="108" w:type="dxa"/>
            <w:bottom w:w="0" w:type="dxa"/>
            <w:right w:w="108" w:type="dxa"/>
          </w:tblCellMar>
        </w:tblPrEx>
        <w:trPr>
          <w:trHeight w:val="852" w:hRule="atLeast"/>
        </w:trPr>
        <w:tc>
          <w:tcPr>
            <w:tcW w:w="1901"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幼儿园等级</w:t>
            </w:r>
          </w:p>
        </w:tc>
        <w:tc>
          <w:tcPr>
            <w:tcW w:w="3452" w:type="dxa"/>
            <w:gridSpan w:val="2"/>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2021年秋季学期</w:t>
            </w:r>
          </w:p>
        </w:tc>
        <w:tc>
          <w:tcPr>
            <w:tcW w:w="3402" w:type="dxa"/>
            <w:gridSpan w:val="2"/>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2023年秋季学期</w:t>
            </w:r>
          </w:p>
        </w:tc>
      </w:tr>
      <w:tr>
        <w:tblPrEx>
          <w:tblLayout w:type="fixed"/>
          <w:tblCellMar>
            <w:top w:w="0" w:type="dxa"/>
            <w:left w:w="108" w:type="dxa"/>
            <w:bottom w:w="0" w:type="dxa"/>
            <w:right w:w="108" w:type="dxa"/>
          </w:tblCellMar>
        </w:tblPrEx>
        <w:trPr>
          <w:trHeight w:val="980" w:hRule="atLeast"/>
        </w:trPr>
        <w:tc>
          <w:tcPr>
            <w:tcW w:w="190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_GB2312" w:hAnsi="宋体" w:eastAsia="仿宋_GB2312" w:cs="宋体"/>
                <w:b/>
                <w:bCs/>
                <w:color w:val="000000"/>
                <w:kern w:val="0"/>
                <w:sz w:val="28"/>
                <w:szCs w:val="28"/>
              </w:rPr>
            </w:pPr>
          </w:p>
        </w:tc>
        <w:tc>
          <w:tcPr>
            <w:tcW w:w="1751" w:type="dxa"/>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城市</w:t>
            </w:r>
          </w:p>
        </w:tc>
        <w:tc>
          <w:tcPr>
            <w:tcW w:w="1701"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乡镇</w:t>
            </w:r>
          </w:p>
        </w:tc>
        <w:tc>
          <w:tcPr>
            <w:tcW w:w="1701" w:type="dxa"/>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城市</w:t>
            </w:r>
          </w:p>
        </w:tc>
        <w:tc>
          <w:tcPr>
            <w:tcW w:w="1701"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乡镇</w:t>
            </w:r>
          </w:p>
        </w:tc>
      </w:tr>
      <w:tr>
        <w:tblPrEx>
          <w:tblLayout w:type="fixed"/>
          <w:tblCellMar>
            <w:top w:w="0" w:type="dxa"/>
            <w:left w:w="108" w:type="dxa"/>
            <w:bottom w:w="0" w:type="dxa"/>
            <w:right w:w="108" w:type="dxa"/>
          </w:tblCellMar>
        </w:tblPrEx>
        <w:trPr>
          <w:trHeight w:val="907" w:hRule="atLeast"/>
        </w:trPr>
        <w:tc>
          <w:tcPr>
            <w:tcW w:w="190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自治区示范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幼儿园</w:t>
            </w:r>
          </w:p>
        </w:tc>
        <w:tc>
          <w:tcPr>
            <w:tcW w:w="175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550</w:t>
            </w:r>
          </w:p>
        </w:tc>
        <w:tc>
          <w:tcPr>
            <w:tcW w:w="1701"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385</w:t>
            </w:r>
          </w:p>
        </w:tc>
        <w:tc>
          <w:tcPr>
            <w:tcW w:w="1701"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700</w:t>
            </w:r>
          </w:p>
        </w:tc>
        <w:tc>
          <w:tcPr>
            <w:tcW w:w="1701"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490</w:t>
            </w:r>
          </w:p>
        </w:tc>
      </w:tr>
      <w:tr>
        <w:tblPrEx>
          <w:tblLayout w:type="fixed"/>
          <w:tblCellMar>
            <w:top w:w="0" w:type="dxa"/>
            <w:left w:w="108" w:type="dxa"/>
            <w:bottom w:w="0" w:type="dxa"/>
            <w:right w:w="108" w:type="dxa"/>
          </w:tblCellMar>
        </w:tblPrEx>
        <w:trPr>
          <w:trHeight w:val="990" w:hRule="atLeast"/>
        </w:trPr>
        <w:tc>
          <w:tcPr>
            <w:tcW w:w="190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柳州市示范</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幼儿园</w:t>
            </w:r>
          </w:p>
        </w:tc>
        <w:tc>
          <w:tcPr>
            <w:tcW w:w="175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440</w:t>
            </w:r>
          </w:p>
        </w:tc>
        <w:tc>
          <w:tcPr>
            <w:tcW w:w="170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308</w:t>
            </w:r>
          </w:p>
        </w:tc>
        <w:tc>
          <w:tcPr>
            <w:tcW w:w="170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560</w:t>
            </w:r>
          </w:p>
        </w:tc>
        <w:tc>
          <w:tcPr>
            <w:tcW w:w="170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392</w:t>
            </w:r>
          </w:p>
        </w:tc>
      </w:tr>
      <w:tr>
        <w:tblPrEx>
          <w:tblLayout w:type="fixed"/>
          <w:tblCellMar>
            <w:top w:w="0" w:type="dxa"/>
            <w:left w:w="108" w:type="dxa"/>
            <w:bottom w:w="0" w:type="dxa"/>
            <w:right w:w="108" w:type="dxa"/>
          </w:tblCellMar>
        </w:tblPrEx>
        <w:trPr>
          <w:trHeight w:val="1000" w:hRule="atLeast"/>
        </w:trPr>
        <w:tc>
          <w:tcPr>
            <w:tcW w:w="19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普通幼儿园</w:t>
            </w:r>
          </w:p>
        </w:tc>
        <w:tc>
          <w:tcPr>
            <w:tcW w:w="1751"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385</w:t>
            </w:r>
          </w:p>
        </w:tc>
        <w:tc>
          <w:tcPr>
            <w:tcW w:w="1701"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270</w:t>
            </w:r>
          </w:p>
        </w:tc>
        <w:tc>
          <w:tcPr>
            <w:tcW w:w="1701"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490</w:t>
            </w:r>
          </w:p>
        </w:tc>
        <w:tc>
          <w:tcPr>
            <w:tcW w:w="1701"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仿宋_GB2312" w:hAnsi="宋体" w:eastAsia="仿宋_GB2312" w:cs="宋体"/>
                <w:kern w:val="0"/>
                <w:sz w:val="28"/>
                <w:szCs w:val="28"/>
              </w:rPr>
            </w:pPr>
            <w:r>
              <w:rPr>
                <w:rFonts w:hint="eastAsia" w:ascii="仿宋_GB2312" w:hAnsi="宋体" w:eastAsia="仿宋_GB2312" w:cs="宋体"/>
                <w:kern w:val="0"/>
                <w:sz w:val="28"/>
                <w:szCs w:val="28"/>
              </w:rPr>
              <w:t>343</w:t>
            </w:r>
          </w:p>
        </w:tc>
      </w:tr>
      <w:tr>
        <w:tblPrEx>
          <w:tblLayout w:type="fixed"/>
          <w:tblCellMar>
            <w:top w:w="0" w:type="dxa"/>
            <w:left w:w="108" w:type="dxa"/>
            <w:bottom w:w="0" w:type="dxa"/>
            <w:right w:w="108" w:type="dxa"/>
          </w:tblCellMar>
        </w:tblPrEx>
        <w:trPr>
          <w:trHeight w:val="1260" w:hRule="atLeast"/>
        </w:trPr>
        <w:tc>
          <w:tcPr>
            <w:tcW w:w="8755"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ind w:left="1120" w:leftChars="400" w:hanging="280" w:hangingChars="100"/>
              <w:textAlignment w:val="auto"/>
              <w:outlineLvl w:val="9"/>
              <w:rPr>
                <w:rFonts w:ascii="仿宋_GB2312" w:eastAsia="仿宋_GB2312"/>
                <w:sz w:val="28"/>
                <w:szCs w:val="28"/>
              </w:rPr>
            </w:pPr>
            <w:r>
              <w:rPr>
                <w:rFonts w:hint="eastAsia" w:ascii="仿宋_GB2312" w:hAnsi="宋体" w:eastAsia="仿宋_GB2312"/>
                <w:sz w:val="28"/>
                <w:szCs w:val="28"/>
              </w:rPr>
              <w:t>1</w:t>
            </w:r>
            <w:r>
              <w:rPr>
                <w:rFonts w:hint="eastAsia" w:ascii="仿宋_GB2312" w:hAnsi="宋体" w:eastAsia="仿宋_GB2312" w:cs="新宋体"/>
                <w:kern w:val="0"/>
                <w:sz w:val="28"/>
                <w:szCs w:val="28"/>
              </w:rPr>
              <w:t>.</w:t>
            </w:r>
            <w:r>
              <w:rPr>
                <w:rFonts w:hint="eastAsia" w:ascii="仿宋_GB2312" w:eastAsia="仿宋_GB2312"/>
                <w:sz w:val="28"/>
                <w:szCs w:val="28"/>
              </w:rPr>
              <w:t>市级示范园收费标准按自治区示范园标准的80%确定、普通幼儿园按自治区示范园标准的70%确定。</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outlineLvl w:val="9"/>
              <w:rPr>
                <w:rFonts w:ascii="仿宋_GB2312" w:hAnsi="宋体" w:eastAsia="仿宋_GB2312" w:cs="新宋体"/>
                <w:color w:val="FF0000"/>
                <w:kern w:val="0"/>
                <w:sz w:val="28"/>
                <w:szCs w:val="28"/>
              </w:rPr>
            </w:pPr>
            <w:r>
              <w:rPr>
                <w:rFonts w:hint="eastAsia" w:ascii="仿宋_GB2312" w:eastAsia="仿宋_GB2312"/>
                <w:sz w:val="28"/>
                <w:szCs w:val="28"/>
              </w:rPr>
              <w:t>2.</w:t>
            </w:r>
            <w:r>
              <w:rPr>
                <w:rFonts w:ascii="仿宋_GB2312" w:eastAsia="仿宋_GB2312"/>
                <w:sz w:val="28"/>
                <w:szCs w:val="28"/>
              </w:rPr>
              <w:t xml:space="preserve"> </w:t>
            </w:r>
            <w:r>
              <w:rPr>
                <w:rFonts w:hint="eastAsia" w:ascii="仿宋_GB2312" w:eastAsia="仿宋_GB2312"/>
                <w:sz w:val="28"/>
                <w:szCs w:val="28"/>
              </w:rPr>
              <w:t>城乡结合区及镇中心区的乡镇幼儿园收费标准按城市同类幼儿园标准的70%确定；镇中心区以下的幼儿园保教费收费标准每月最高按250元收取（学校行政区域属性由辖区内教育主管部门界定）。</w:t>
            </w:r>
          </w:p>
        </w:tc>
      </w:tr>
    </w:tbl>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以上规定的收费标准为最高限价，在最高限价幅度内，各公办幼儿园可根据办园条件、成本等因素确定本园保教费收费标准。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对于托幼一体的婴托班，其保教费标准可在以上保教费收费标准基础上上浮，幅度不超过30%。</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享受当地人民政府补助的军队举办的、企事业单位举办的，无教师事业编制配备的公办幼儿园保教费标准可在政府定价的对应档次基础上上浮，幅度不超过20%。未享受当地人民政府补助的军队举办的幼儿园，由军队依据国家有关政策具体制定收费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三、公办幼儿园全托班收取的住宿费，每人每月最高不超过250元。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四、加强幼儿园收费监督管理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hAnsi="仿宋" w:eastAsia="仿宋_GB2312"/>
          <w:sz w:val="32"/>
          <w:szCs w:val="32"/>
        </w:rPr>
        <w:t>（一）幼儿园应严格按照本文规定的收费项目和标准实施收费。按除上述收费外，</w:t>
      </w:r>
      <w:r>
        <w:rPr>
          <w:rFonts w:hint="eastAsia" w:ascii="仿宋_GB2312" w:eastAsia="仿宋_GB2312"/>
          <w:sz w:val="32"/>
          <w:szCs w:val="32"/>
        </w:rPr>
        <w:t>幼儿园不得再向幼儿家长收取其他费用。不得在保教费外以开办实验班、特色班、亲子班等特色教育为名另外收取费用；不得以任何名义收取与幼儿入园挂钩的赞助费、捐资助学费、建校费、教育成本补偿费等费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幼儿园不得收取课本费。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幼儿园保教费、住宿费按月或按学期收取，每个学期按5个月计算，不得跨学期预收。幼儿缴费入园后，因故中途转（退）园的，幼儿园应根据幼儿实际在园时间，计算清退剩余的保教费、住宿费。当月15日（含）前转（退）园的，按半个月计收保教费、住宿费，当月15日（不含）后转（退）园的，按一个月计收保教费、住宿费。因个人原因请假的，不退还保教费、住宿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如遇公共卫生安全等特殊情况的，经市教育局、发展改革委、财政局审定后可按实际在园时间按月计收。入园不足一个月的，15天以内（含15天）按半个月计收，15天以上按一个月计收。</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（三）幼儿园伙食费按月或按学期预收，全部用于幼儿膳食，期末据实结算并向家长公示，多退少补。</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基于幼儿园及家长双方自愿，幼儿园在寒、暑假期间向幼儿开放的，保教费采取按日收取的办法，具体按幼儿申请留园的天数计算。留园期间保教费日收费标准由幼儿园根据自身办学条件、成本等因素自主确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幼儿留园期间因个人原因请假的不退还保教费。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对建档立卡贫困户幼儿，特困救助儿童、孤儿、事实无人抚养儿童、低保家庭子女、烈士子女等对象的保教费减免政策按国家和自治区有关规定执行。今后国家、自治区出台新的收费减免政策，由市教育部门另行组织贯彻实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幼儿园应严格执行收费公示制度，在招生简章、收费场所显著位置等公示具体收费项目、收费标准、收费依据、投诉举报电话及对家庭经济困难学生的减免规定等信息，自觉接受政府部门和社会的监督。保教费、住宿费属行政事业性收费，收费时应使用财政部门统一印制的财政票据，收费收入按政府非税收入管理的有关规定，实行收支两条线管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（七）幼儿园要建立健全收费报告制度，根据《柳州市物价局 财政局关于取消收费许可证制度实行收费目录清单制度的通知》（柳价费〔2015〕86号）要求，幼儿园的收费清单需通过“柳州市价费公示管理系统”向社会公示，以便于消费者通过登录柳州市发展和改革委员会网站进行查询。市辖区各公办幼儿园接文后应及时到市发展改革委办理相关收费信息公开手续，并严格实行收费单位情况和收支状况报告制度，于每年5月30日前按规定报送上一年度的收费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八）各级教育部门要加强对幼儿园的指导和监督，做好幼儿园的类别和等级管理，引导幼儿园持续改善办园条件，提高保教质量。财政部门要健全学前教育经费投入机制，逐步提高学前教育财政投入和支持水平，保障公办幼儿园健康发展。市场监管部门要加强对幼儿园的收费监管，发展改革部门要督促幼儿园建立健全收费管理制度，自觉规范收费行为。</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五、本通知</w:t>
      </w:r>
      <w:r>
        <w:rPr>
          <w:rFonts w:hint="eastAsia" w:ascii="仿宋_GB2312" w:hAnsi="仿宋" w:eastAsia="仿宋_GB2312"/>
          <w:sz w:val="32"/>
          <w:szCs w:val="32"/>
        </w:rPr>
        <w:t>从</w:t>
      </w:r>
      <w:r>
        <w:rPr>
          <w:rFonts w:hint="eastAsia" w:ascii="仿宋_GB2312" w:eastAsia="仿宋_GB2312"/>
          <w:sz w:val="32"/>
          <w:szCs w:val="32"/>
        </w:rPr>
        <w:t>2021年秋季学期起执行。以往有关规定凡与本通知不一致的，以本通知为准。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柳州市发展和改革委员会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柳州市财政局  </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3520" w:firstLineChars="1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柳州市教育局</w:t>
      </w:r>
    </w:p>
    <w:p>
      <w:pPr>
        <w:keepNext w:val="0"/>
        <w:keepLines w:val="0"/>
        <w:pageBreakBefore w:val="0"/>
        <w:kinsoku/>
        <w:wordWrap/>
        <w:overflowPunct/>
        <w:topLinePunct w:val="0"/>
        <w:autoSpaceDE/>
        <w:autoSpaceDN/>
        <w:bidi w:val="0"/>
        <w:adjustRightInd/>
        <w:snapToGrid w:val="0"/>
        <w:spacing w:line="560" w:lineRule="exact"/>
        <w:ind w:firstLine="3200" w:firstLineChars="10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2021年5月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napToGrid w:val="0"/>
        <w:spacing w:line="437" w:lineRule="exact"/>
        <w:ind w:firstLine="4788" w:firstLineChars="1710"/>
        <w:jc w:val="left"/>
        <w:rPr>
          <w:rFonts w:eastAsia="仿宋_GB2312"/>
          <w:sz w:val="28"/>
          <w:szCs w:val="28"/>
        </w:rPr>
      </w:pPr>
    </w:p>
    <w:p>
      <w:pPr>
        <w:snapToGrid w:val="0"/>
        <w:spacing w:line="437" w:lineRule="exact"/>
        <w:ind w:firstLine="4788" w:firstLineChars="1710"/>
        <w:jc w:val="left"/>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snapToGrid w:val="0"/>
        <w:spacing w:line="437" w:lineRule="exact"/>
        <w:ind w:firstLine="4788" w:firstLineChars="1710"/>
        <w:jc w:val="left"/>
        <w:rPr>
          <w:rFonts w:eastAsia="仿宋_GB2312"/>
          <w:sz w:val="28"/>
          <w:szCs w:val="28"/>
        </w:rPr>
      </w:pPr>
    </w:p>
    <w:p>
      <w:pPr>
        <w:pStyle w:val="2"/>
        <w:rPr>
          <w:rFonts w:eastAsia="仿宋_GB2312"/>
          <w:sz w:val="28"/>
          <w:szCs w:val="28"/>
        </w:rPr>
      </w:pPr>
      <w:bookmarkStart w:id="0" w:name="_GoBack"/>
      <w:bookmarkEnd w:id="0"/>
    </w:p>
    <w:p>
      <w:pPr>
        <w:spacing w:line="437" w:lineRule="exact"/>
        <w:jc w:val="left"/>
        <w:rPr>
          <w:rFonts w:ascii="楷体_GB2312" w:hAnsi="黑体" w:eastAsia="楷体_GB2312"/>
          <w:b/>
          <w:sz w:val="28"/>
          <w:szCs w:val="28"/>
          <w:u w:val="single"/>
        </w:rPr>
      </w:pPr>
    </w:p>
    <w:p>
      <w:pPr>
        <w:spacing w:line="437" w:lineRule="exact"/>
        <w:rPr>
          <w:rFonts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政府信息公开选项：主动公开                              </w:t>
      </w:r>
    </w:p>
    <w:p>
      <w:pPr>
        <w:spacing w:line="400" w:lineRule="exact"/>
        <w:rPr>
          <w:rFonts w:eastAsia="仿宋_GB2312"/>
          <w:sz w:val="30"/>
          <w:szCs w:val="30"/>
        </w:rPr>
      </w:pPr>
      <w:r>
        <w:rPr>
          <w:rFonts w:hint="eastAsia" w:ascii="仿宋_GB2312" w:hAnsi="宋体" w:eastAsia="仿宋_GB2312" w:cs="宋体"/>
          <w:sz w:val="30"/>
          <w:szCs w:val="30"/>
          <w:u w:val="single"/>
        </w:rPr>
        <w:t xml:space="preserve">  柳州市发展和改革委员会            2021年</w:t>
      </w:r>
      <w:r>
        <w:rPr>
          <w:rFonts w:hint="eastAsia" w:ascii="仿宋_GB2312" w:hAnsi="宋体" w:eastAsia="仿宋_GB2312" w:cs="宋体"/>
          <w:sz w:val="30"/>
          <w:szCs w:val="30"/>
          <w:u w:val="single"/>
          <w:lang w:val="en-US" w:eastAsia="zh-CN"/>
        </w:rPr>
        <w:t>5</w:t>
      </w:r>
      <w:r>
        <w:rPr>
          <w:rFonts w:hint="eastAsia" w:ascii="仿宋_GB2312" w:hAnsi="宋体" w:eastAsia="仿宋_GB2312" w:cs="宋体"/>
          <w:sz w:val="30"/>
          <w:szCs w:val="30"/>
          <w:u w:val="single"/>
        </w:rPr>
        <w:t>月</w:t>
      </w:r>
      <w:r>
        <w:rPr>
          <w:rFonts w:hint="eastAsia" w:ascii="仿宋_GB2312" w:hAnsi="宋体" w:eastAsia="仿宋_GB2312" w:cs="宋体"/>
          <w:sz w:val="30"/>
          <w:szCs w:val="30"/>
          <w:u w:val="single"/>
          <w:lang w:val="en-US" w:eastAsia="zh-CN"/>
        </w:rPr>
        <w:t>17</w:t>
      </w:r>
      <w:r>
        <w:rPr>
          <w:rFonts w:hint="eastAsia" w:ascii="仿宋_GB2312" w:hAnsi="宋体" w:eastAsia="仿宋_GB2312" w:cs="宋体"/>
          <w:sz w:val="30"/>
          <w:szCs w:val="30"/>
          <w:u w:val="single"/>
        </w:rPr>
        <w:t xml:space="preserve">日印发              </w:t>
      </w:r>
      <w:r>
        <w:rPr>
          <w:rFonts w:hint="eastAsia" w:ascii="仿宋_GB2312" w:hAnsi="华文中宋" w:eastAsia="仿宋_GB2312" w:cs="仿宋_GB2312"/>
          <w:sz w:val="30"/>
          <w:szCs w:val="30"/>
        </w:rPr>
        <w:t xml:space="preserve">    </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84612"/>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2405"/>
    <w:rsid w:val="00027063"/>
    <w:rsid w:val="000B2818"/>
    <w:rsid w:val="000B62F9"/>
    <w:rsid w:val="001071C5"/>
    <w:rsid w:val="00153692"/>
    <w:rsid w:val="0018416F"/>
    <w:rsid w:val="0023332D"/>
    <w:rsid w:val="002462C4"/>
    <w:rsid w:val="002B3CB0"/>
    <w:rsid w:val="002B4CE0"/>
    <w:rsid w:val="002D5C01"/>
    <w:rsid w:val="00334BC3"/>
    <w:rsid w:val="00344E07"/>
    <w:rsid w:val="003675DF"/>
    <w:rsid w:val="00393F76"/>
    <w:rsid w:val="003B5DA7"/>
    <w:rsid w:val="00464D00"/>
    <w:rsid w:val="004838E8"/>
    <w:rsid w:val="00497DCA"/>
    <w:rsid w:val="004A1E09"/>
    <w:rsid w:val="004B5718"/>
    <w:rsid w:val="004C3267"/>
    <w:rsid w:val="004E3B6A"/>
    <w:rsid w:val="00511BDE"/>
    <w:rsid w:val="00526F1F"/>
    <w:rsid w:val="00534C3D"/>
    <w:rsid w:val="005647C2"/>
    <w:rsid w:val="00590A6B"/>
    <w:rsid w:val="005C14A6"/>
    <w:rsid w:val="005D7580"/>
    <w:rsid w:val="006054E3"/>
    <w:rsid w:val="006825A7"/>
    <w:rsid w:val="00692F14"/>
    <w:rsid w:val="006A496F"/>
    <w:rsid w:val="006B4373"/>
    <w:rsid w:val="007237AB"/>
    <w:rsid w:val="00755CF8"/>
    <w:rsid w:val="00763222"/>
    <w:rsid w:val="007745A6"/>
    <w:rsid w:val="007F4910"/>
    <w:rsid w:val="008016CF"/>
    <w:rsid w:val="0087516C"/>
    <w:rsid w:val="008A2695"/>
    <w:rsid w:val="008A35EA"/>
    <w:rsid w:val="008F5C32"/>
    <w:rsid w:val="00922D51"/>
    <w:rsid w:val="00927CD7"/>
    <w:rsid w:val="00967012"/>
    <w:rsid w:val="009D0C33"/>
    <w:rsid w:val="00A11334"/>
    <w:rsid w:val="00A1242E"/>
    <w:rsid w:val="00A26049"/>
    <w:rsid w:val="00A533D7"/>
    <w:rsid w:val="00A77600"/>
    <w:rsid w:val="00A91125"/>
    <w:rsid w:val="00AA591F"/>
    <w:rsid w:val="00B232C3"/>
    <w:rsid w:val="00B81BBA"/>
    <w:rsid w:val="00BA4C4A"/>
    <w:rsid w:val="00C201C2"/>
    <w:rsid w:val="00C2382C"/>
    <w:rsid w:val="00C3080B"/>
    <w:rsid w:val="00C7462D"/>
    <w:rsid w:val="00C8382E"/>
    <w:rsid w:val="00CD2405"/>
    <w:rsid w:val="00CE46EC"/>
    <w:rsid w:val="00DD49F4"/>
    <w:rsid w:val="00DF42BE"/>
    <w:rsid w:val="00E02600"/>
    <w:rsid w:val="00E2193D"/>
    <w:rsid w:val="00EB740E"/>
    <w:rsid w:val="00ED768F"/>
    <w:rsid w:val="00F050DF"/>
    <w:rsid w:val="00F8523E"/>
    <w:rsid w:val="00FA7BE4"/>
    <w:rsid w:val="00FE7F55"/>
    <w:rsid w:val="18EC43DA"/>
    <w:rsid w:val="31E879CE"/>
    <w:rsid w:val="37B3290C"/>
    <w:rsid w:val="7E92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sz w:val="36"/>
      <w:szCs w:val="36"/>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5</Pages>
  <Words>381</Words>
  <Characters>2173</Characters>
  <Lines>18</Lines>
  <Paragraphs>5</Paragraphs>
  <TotalTime>8</TotalTime>
  <ScaleCrop>false</ScaleCrop>
  <LinksUpToDate>false</LinksUpToDate>
  <CharactersWithSpaces>2549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2021-03-01T02:49:00Z</dcterms:created>
  <dc:creator>黄夏馨</dc:creator>
  <cp:lastModifiedBy>唐萍</cp:lastModifiedBy>
  <cp:lastPrinted>2021-05-28T00:47:11Z</cp:lastPrinted>
  <dcterms:modified xsi:type="dcterms:W3CDTF">2021-05-28T00:48:37Z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