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5.11.0.0 -->
  <w:body>
    <w:p>
      <w:pPr>
        <w:jc w:val="center"/>
        <w:rPr>
          <w:rFonts w:ascii="方正大黑简体" w:eastAsia="方正大黑简体" w:hAnsi="方正大黑简体" w:cs="方正大黑简体" w:hint="eastAsia"/>
          <w:color w:val="auto"/>
          <w:sz w:val="44"/>
          <w:szCs w:val="44"/>
          <w:highlight w:val="none"/>
          <w:lang w:eastAsia="zh-CN"/>
        </w:rPr>
      </w:pPr>
    </w:p>
    <w:p>
      <w:pPr>
        <w:jc w:val="center"/>
        <w:rPr>
          <w:rFonts w:ascii="方正大黑简体" w:eastAsia="方正大黑简体" w:hAnsi="方正大黑简体" w:cs="方正大黑简体"/>
          <w:color w:val="auto"/>
          <w:sz w:val="44"/>
          <w:szCs w:val="44"/>
          <w:highlight w:val="none"/>
        </w:rPr>
      </w:pPr>
      <w:r>
        <w:rPr>
          <w:rFonts w:ascii="方正大黑简体" w:eastAsia="方正大黑简体" w:hAnsi="方正大黑简体" w:cs="方正大黑简体" w:hint="eastAsia"/>
          <w:color w:val="auto"/>
          <w:sz w:val="44"/>
          <w:szCs w:val="44"/>
          <w:highlight w:val="none"/>
          <w:lang w:eastAsia="zh-CN"/>
        </w:rPr>
        <w:t>高</w:t>
      </w:r>
      <w:r>
        <w:rPr>
          <w:rFonts w:ascii="方正大黑简体" w:eastAsia="方正大黑简体" w:hAnsi="方正大黑简体" w:cs="方正大黑简体" w:hint="eastAsia"/>
          <w:color w:val="auto"/>
          <w:sz w:val="44"/>
          <w:szCs w:val="44"/>
          <w:highlight w:val="none"/>
        </w:rPr>
        <w:t>压</w:t>
      </w:r>
      <w:r>
        <w:rPr>
          <w:rFonts w:ascii="方正大黑简体" w:eastAsia="方正大黑简体" w:hAnsi="方正大黑简体" w:cs="方正大黑简体" w:hint="eastAsia"/>
          <w:color w:val="auto"/>
          <w:sz w:val="44"/>
          <w:szCs w:val="44"/>
          <w:highlight w:val="none"/>
          <w:lang w:eastAsia="zh-CN"/>
        </w:rPr>
        <w:t>电动汽车充电桩</w:t>
      </w:r>
      <w:r>
        <w:rPr>
          <w:rFonts w:ascii="方正大黑简体" w:eastAsia="方正大黑简体" w:hAnsi="方正大黑简体" w:cs="方正大黑简体" w:hint="eastAsia"/>
          <w:color w:val="auto"/>
          <w:sz w:val="44"/>
          <w:szCs w:val="44"/>
          <w:highlight w:val="none"/>
        </w:rPr>
        <w:t>用电报装业务告知书</w:t>
      </w:r>
    </w:p>
    <w:p>
      <w:pPr>
        <w:spacing w:line="380" w:lineRule="exact"/>
        <w:rPr>
          <w:rFonts w:hint="eastAsia"/>
          <w:b/>
          <w:bCs/>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b/>
          <w:bCs/>
          <w:color w:val="auto"/>
          <w:sz w:val="24"/>
          <w:highlight w:val="none"/>
        </w:rPr>
      </w:pPr>
      <w:r>
        <w:rPr>
          <w:rFonts w:hint="eastAsia"/>
          <w:b/>
          <w:bCs/>
          <w:color w:val="auto"/>
          <w:sz w:val="24"/>
          <w:highlight w:val="none"/>
        </w:rPr>
        <w:t>尊敬的用电客户：</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20" w:firstLineChars="200"/>
        <w:textAlignment w:val="auto"/>
        <w:rPr>
          <w:rFonts w:hint="eastAsia"/>
          <w:b w:val="0"/>
          <w:bCs w:val="0"/>
          <w:color w:val="auto"/>
          <w:sz w:val="24"/>
          <w:highlight w:val="none"/>
          <w:lang w:eastAsia="zh-CN"/>
        </w:rPr>
      </w:pPr>
      <w:r>
        <w:rPr>
          <w:rFonts w:hint="eastAsia"/>
          <w:b w:val="0"/>
          <w:bCs w:val="0"/>
          <w:color w:val="auto"/>
          <w:sz w:val="24"/>
          <w:highlight w:val="none"/>
          <w:lang w:eastAsia="zh-CN"/>
        </w:rPr>
        <w:t>为保证您的合法权益，请您在办理用电报装前，仔细阅读以下内容：</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630" w:leftChars="0"/>
        <w:textAlignment w:val="auto"/>
        <w:rPr>
          <w:rFonts w:ascii="黑体" w:eastAsia="黑体" w:hAnsi="黑体" w:cs="黑体" w:hint="eastAsia"/>
          <w:b/>
          <w:bCs/>
          <w:color w:val="auto"/>
          <w:sz w:val="24"/>
          <w:highlight w:val="none"/>
          <w:lang w:eastAsia="zh-CN"/>
        </w:rPr>
      </w:pPr>
      <w:r>
        <w:rPr>
          <w:rFonts w:ascii="黑体" w:eastAsia="黑体" w:hAnsi="黑体" w:cs="黑体" w:hint="eastAsia"/>
          <w:b/>
          <w:bCs/>
          <w:color w:val="auto"/>
          <w:sz w:val="24"/>
          <w:highlight w:val="none"/>
          <w:lang w:eastAsia="zh-CN"/>
        </w:rPr>
        <w:t>一、</w:t>
      </w:r>
      <w:r>
        <w:rPr>
          <w:rFonts w:ascii="黑体" w:eastAsia="黑体" w:hAnsi="黑体" w:cs="黑体" w:hint="eastAsia"/>
          <w:b/>
          <w:bCs/>
          <w:color w:val="auto"/>
          <w:sz w:val="24"/>
          <w:highlight w:val="none"/>
        </w:rPr>
        <w:t>业务</w:t>
      </w:r>
      <w:r>
        <w:rPr>
          <w:rFonts w:ascii="黑体" w:eastAsia="黑体" w:hAnsi="黑体" w:cs="黑体" w:hint="eastAsia"/>
          <w:b/>
          <w:bCs/>
          <w:color w:val="auto"/>
          <w:sz w:val="24"/>
          <w:highlight w:val="none"/>
          <w:lang w:eastAsia="zh-CN"/>
        </w:rPr>
        <w:t>介绍</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20" w:firstLineChars="200"/>
        <w:textAlignment w:val="auto"/>
        <w:rPr>
          <w:rFonts w:hint="eastAsia"/>
          <w:b w:val="0"/>
          <w:bCs w:val="0"/>
          <w:color w:val="auto"/>
          <w:sz w:val="24"/>
          <w:highlight w:val="none"/>
          <w:lang w:eastAsia="zh-CN"/>
        </w:rPr>
      </w:pPr>
      <w:r>
        <w:rPr>
          <w:rFonts w:hint="eastAsia"/>
          <w:b w:val="0"/>
          <w:bCs w:val="0"/>
          <w:color w:val="auto"/>
          <w:sz w:val="24"/>
          <w:highlight w:val="none"/>
          <w:lang w:eastAsia="zh-CN"/>
        </w:rPr>
        <w:t>高压电动汽车充电桩报装是指采用10（6）千伏及以上电压供电的电动汽车充电桩客户用户办理用电新装、增容业务，</w:t>
      </w:r>
      <w:r>
        <w:rPr>
          <w:rFonts w:hint="eastAsia"/>
          <w:b w:val="0"/>
          <w:bCs w:val="0"/>
          <w:color w:val="auto"/>
          <w:sz w:val="24"/>
          <w:highlight w:val="none"/>
          <w:lang w:val="en-US" w:eastAsia="zh-CN"/>
        </w:rPr>
        <w:t>适用于报装容量160千瓦以上的客户</w:t>
      </w:r>
      <w:r>
        <w:rPr>
          <w:rFonts w:hint="eastAsia"/>
          <w:b w:val="0"/>
          <w:bCs w:val="0"/>
          <w:color w:val="auto"/>
          <w:sz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630" w:leftChars="0"/>
        <w:textAlignment w:val="auto"/>
        <w:rPr>
          <w:rFonts w:ascii="黑体" w:eastAsia="黑体" w:hAnsi="黑体" w:cs="黑体" w:hint="default"/>
          <w:b/>
          <w:bCs/>
          <w:color w:val="auto"/>
          <w:sz w:val="24"/>
          <w:highlight w:val="none"/>
          <w:lang w:val="en-US" w:eastAsia="zh-CN"/>
        </w:rPr>
      </w:pPr>
      <w:r>
        <w:rPr>
          <w:rFonts w:ascii="黑体" w:eastAsia="黑体" w:hAnsi="黑体" w:cs="黑体" w:hint="eastAsia"/>
          <w:b/>
          <w:bCs/>
          <w:color w:val="auto"/>
          <w:sz w:val="24"/>
          <w:highlight w:val="none"/>
          <w:lang w:val="en-US" w:eastAsia="zh-CN"/>
        </w:rPr>
        <w:t>二、</w:t>
      </w:r>
      <w:r>
        <w:rPr>
          <w:rFonts w:ascii="黑体" w:eastAsia="黑体" w:hAnsi="黑体" w:cs="黑体" w:hint="default"/>
          <w:b/>
          <w:bCs/>
          <w:color w:val="auto"/>
          <w:sz w:val="24"/>
          <w:highlight w:val="none"/>
          <w:lang w:val="en-US" w:eastAsia="zh-CN"/>
        </w:rPr>
        <w:t>办电环节及时限</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ascii="黑体" w:eastAsia="黑体" w:hAnsi="黑体" w:cs="黑体" w:hint="default"/>
          <w:b/>
          <w:bCs/>
          <w:color w:val="auto"/>
          <w:sz w:val="24"/>
          <w:highlight w:val="none"/>
          <w:lang w:val="en-US" w:eastAsia="zh-CN"/>
        </w:rPr>
      </w:pPr>
      <w:r>
        <w:rPr>
          <w:rFonts w:ascii="仿宋_GB2312" w:eastAsia="仿宋_GB2312" w:hAnsi="仿宋_GB2312" w:cs="仿宋_GB2312" w:hint="eastAsia"/>
          <w:b/>
          <w:bCs/>
          <w:color w:val="auto"/>
          <w:sz w:val="24"/>
          <w:highlight w:val="none"/>
          <w:lang w:val="en-US" w:eastAsia="zh-CN"/>
        </w:rPr>
        <w:t>（一）办电环节3个：</w:t>
      </w:r>
      <w:r>
        <w:rPr>
          <w:rFonts w:hint="eastAsia"/>
          <w:b w:val="0"/>
          <w:bCs w:val="0"/>
          <w:color w:val="auto"/>
          <w:sz w:val="24"/>
          <w:highlight w:val="none"/>
          <w:lang w:val="en-US" w:eastAsia="zh-CN"/>
        </w:rPr>
        <w:t>受理</w:t>
      </w:r>
      <w:r>
        <w:rPr>
          <w:rFonts w:hint="eastAsia"/>
          <w:b w:val="0"/>
          <w:bCs w:val="0"/>
          <w:color w:val="auto"/>
          <w:sz w:val="24"/>
          <w:highlight w:val="none"/>
        </w:rPr>
        <w:t>申请</w:t>
      </w:r>
      <w:r>
        <w:rPr>
          <w:rFonts w:hint="eastAsia"/>
          <w:b w:val="0"/>
          <w:bCs w:val="0"/>
          <w:color w:val="auto"/>
          <w:sz w:val="24"/>
          <w:highlight w:val="none"/>
          <w:lang w:eastAsia="zh-CN"/>
        </w:rPr>
        <w:t>、</w:t>
      </w:r>
      <w:r>
        <w:rPr>
          <w:rFonts w:hint="eastAsia"/>
          <w:b w:val="0"/>
          <w:bCs w:val="0"/>
          <w:color w:val="auto"/>
          <w:sz w:val="24"/>
          <w:highlight w:val="none"/>
        </w:rPr>
        <w:t>现场勘查及供电方案答复</w:t>
      </w:r>
      <w:r>
        <w:rPr>
          <w:rFonts w:hint="eastAsia"/>
          <w:b w:val="0"/>
          <w:bCs w:val="0"/>
          <w:color w:val="auto"/>
          <w:sz w:val="24"/>
          <w:highlight w:val="none"/>
          <w:lang w:eastAsia="zh-CN"/>
        </w:rPr>
        <w:t>、</w:t>
      </w:r>
      <w:r>
        <w:rPr>
          <w:rFonts w:hint="eastAsia"/>
          <w:b w:val="0"/>
          <w:bCs w:val="0"/>
          <w:color w:val="auto"/>
          <w:sz w:val="24"/>
          <w:highlight w:val="none"/>
        </w:rPr>
        <w:t>竣工检验和装表接电</w:t>
      </w:r>
      <w:r>
        <w:rPr>
          <w:rFonts w:hint="default"/>
          <w:b w:val="0"/>
          <w:bCs w:val="0"/>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ascii="仿宋_GB2312" w:eastAsia="仿宋_GB2312" w:hAnsi="仿宋_GB2312" w:cs="仿宋_GB2312" w:hint="default"/>
          <w:b/>
          <w:bCs/>
          <w:color w:val="auto"/>
          <w:sz w:val="24"/>
          <w:highlight w:val="none"/>
          <w:lang w:val="en-US" w:eastAsia="zh-CN"/>
        </w:rPr>
      </w:pPr>
      <w:r>
        <w:rPr>
          <w:rFonts w:ascii="仿宋_GB2312" w:eastAsia="仿宋_GB2312" w:hAnsi="仿宋_GB2312" w:cs="仿宋_GB2312" w:hint="default"/>
          <w:b/>
          <w:bCs/>
          <w:color w:val="auto"/>
          <w:sz w:val="24"/>
          <w:highlight w:val="none"/>
          <w:lang w:val="en-US" w:eastAsia="zh-CN"/>
        </w:rPr>
        <w:t>（二）办电时限：</w:t>
      </w:r>
    </w:p>
    <w:p>
      <w:pPr>
        <w:spacing w:before="0" w:after="0"/>
        <w:ind w:right="336" w:firstLine="0" w:rightChars="160" w:firstLineChars="0"/>
        <w:jc w:val="right"/>
        <w:rPr>
          <w:rFonts w:ascii="仿宋_GB2312" w:eastAsia="仿宋_GB2312" w:hAnsi="仿宋" w:cs="Times New Roman" w:hint="eastAsia"/>
          <w:color w:val="auto"/>
          <w:kern w:val="0"/>
          <w:sz w:val="21"/>
          <w:szCs w:val="21"/>
          <w:highlight w:val="none"/>
        </w:rPr>
      </w:pPr>
      <w:r>
        <w:rPr>
          <w:rFonts w:ascii="仿宋_GB2312" w:eastAsia="仿宋_GB2312" w:hAnsi="仿宋" w:cs="Times New Roman" w:hint="eastAsia"/>
          <w:color w:val="auto"/>
          <w:kern w:val="0"/>
          <w:sz w:val="21"/>
          <w:szCs w:val="21"/>
          <w:highlight w:val="none"/>
        </w:rPr>
        <w:t>单位：工作日</w:t>
      </w:r>
    </w:p>
    <w:tbl>
      <w:tblPr>
        <w:tblStyle w:val="TableNormal"/>
        <w:tblW w:w="4998"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108" w:type="dxa"/>
          <w:bottom w:w="0" w:type="dxa"/>
          <w:right w:w="108" w:type="dxa"/>
        </w:tblCellMar>
      </w:tblPr>
      <w:tblGrid>
        <w:gridCol w:w="1336"/>
        <w:gridCol w:w="1583"/>
        <w:gridCol w:w="1684"/>
        <w:gridCol w:w="2166"/>
        <w:gridCol w:w="1750"/>
      </w:tblGrid>
      <w:tr>
        <w:tblPrEx>
          <w:tblW w:w="4998"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108" w:type="dxa"/>
            <w:bottom w:w="0" w:type="dxa"/>
            <w:right w:w="108" w:type="dxa"/>
          </w:tblCellMar>
        </w:tblPrEx>
        <w:trPr>
          <w:trHeight w:val="315"/>
        </w:trPr>
        <w:tc>
          <w:tcPr>
            <w:tcW w:w="7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b/>
                <w:bCs/>
                <w:i w:val="0"/>
                <w:iCs w:val="0"/>
                <w:color w:val="000000"/>
                <w:sz w:val="21"/>
                <w:szCs w:val="21"/>
                <w:u w:val="none"/>
              </w:rPr>
            </w:pPr>
            <w:r>
              <w:rPr>
                <w:rFonts w:ascii="仿宋_GB2312" w:eastAsia="仿宋_GB2312" w:hAnsi="宋体" w:cs="仿宋_GB2312" w:hint="eastAsia"/>
                <w:b/>
                <w:bCs/>
                <w:i w:val="0"/>
                <w:iCs w:val="0"/>
                <w:color w:val="000000"/>
                <w:kern w:val="0"/>
                <w:sz w:val="21"/>
                <w:szCs w:val="21"/>
                <w:u w:val="none"/>
                <w:lang w:val="en-US" w:eastAsia="zh-CN" w:bidi="ar"/>
              </w:rPr>
              <w:t>客户类型</w:t>
            </w:r>
          </w:p>
        </w:tc>
        <w:tc>
          <w:tcPr>
            <w:tcW w:w="4215"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b/>
                <w:bCs/>
                <w:i w:val="0"/>
                <w:iCs w:val="0"/>
                <w:color w:val="000000"/>
                <w:kern w:val="0"/>
                <w:sz w:val="21"/>
                <w:szCs w:val="21"/>
                <w:u w:val="none"/>
                <w:lang w:val="en-US" w:eastAsia="zh-CN" w:bidi="ar"/>
              </w:rPr>
            </w:pPr>
            <w:r>
              <w:rPr>
                <w:rFonts w:ascii="仿宋_GB2312" w:eastAsia="仿宋_GB2312" w:hAnsi="宋体" w:cs="仿宋_GB2312" w:hint="eastAsia"/>
                <w:b/>
                <w:bCs/>
                <w:i w:val="0"/>
                <w:iCs w:val="0"/>
                <w:color w:val="000000"/>
                <w:kern w:val="0"/>
                <w:sz w:val="21"/>
                <w:szCs w:val="21"/>
                <w:u w:val="none"/>
                <w:lang w:val="en-US" w:eastAsia="zh-CN" w:bidi="ar"/>
              </w:rPr>
              <w:t>各环节办理时间</w:t>
            </w:r>
          </w:p>
        </w:tc>
      </w:tr>
      <w:tr>
        <w:tblPrEx>
          <w:tblW w:w="4998" w:type="pct"/>
          <w:tblInd w:w="0" w:type="dxa"/>
          <w:shd w:val="clear" w:color="auto" w:fill="auto"/>
          <w:tblCellMar>
            <w:top w:w="0" w:type="dxa"/>
            <w:left w:w="108" w:type="dxa"/>
            <w:bottom w:w="0" w:type="dxa"/>
            <w:right w:w="108" w:type="dxa"/>
          </w:tblCellMar>
        </w:tblPrEx>
        <w:trPr>
          <w:trHeight w:val="410"/>
        </w:trPr>
        <w:tc>
          <w:tcPr>
            <w:tcW w:w="78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pPr>
              <w:jc w:val="center"/>
              <w:rPr>
                <w:rFonts w:ascii="仿宋_GB2312" w:eastAsia="仿宋_GB2312" w:hAnsi="宋体" w:cs="仿宋_GB2312" w:hint="eastAsia"/>
                <w:b/>
                <w:bCs/>
                <w:i w:val="0"/>
                <w:iCs w:val="0"/>
                <w:color w:val="000000"/>
                <w:sz w:val="21"/>
                <w:szCs w:val="21"/>
                <w:u w:val="none"/>
              </w:rPr>
            </w:pPr>
          </w:p>
        </w:tc>
        <w:tc>
          <w:tcPr>
            <w:tcW w:w="929"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b/>
                <w:bCs/>
                <w:i w:val="0"/>
                <w:iCs w:val="0"/>
                <w:color w:val="000000"/>
                <w:sz w:val="21"/>
                <w:szCs w:val="21"/>
                <w:u w:val="none"/>
              </w:rPr>
            </w:pPr>
            <w:r>
              <w:rPr>
                <w:rFonts w:ascii="仿宋_GB2312" w:eastAsia="仿宋_GB2312" w:hAnsi="宋体" w:cs="仿宋_GB2312" w:hint="eastAsia"/>
                <w:b/>
                <w:bCs/>
                <w:i w:val="0"/>
                <w:iCs w:val="0"/>
                <w:color w:val="000000"/>
                <w:kern w:val="0"/>
                <w:sz w:val="21"/>
                <w:szCs w:val="21"/>
                <w:u w:val="none"/>
                <w:lang w:val="en-US" w:eastAsia="zh-CN" w:bidi="ar"/>
              </w:rPr>
              <w:t>业务受理</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b/>
                <w:bCs/>
                <w:i w:val="0"/>
                <w:iCs w:val="0"/>
                <w:color w:val="000000"/>
                <w:sz w:val="21"/>
                <w:szCs w:val="21"/>
                <w:u w:val="none"/>
              </w:rPr>
            </w:pPr>
            <w:r>
              <w:rPr>
                <w:rFonts w:ascii="仿宋_GB2312" w:eastAsia="仿宋_GB2312" w:hAnsi="宋体" w:cs="仿宋_GB2312" w:hint="eastAsia"/>
                <w:b/>
                <w:bCs/>
                <w:i w:val="0"/>
                <w:iCs w:val="0"/>
                <w:color w:val="000000"/>
                <w:kern w:val="0"/>
                <w:sz w:val="21"/>
                <w:szCs w:val="21"/>
                <w:u w:val="none"/>
                <w:lang w:val="en-US" w:eastAsia="zh-CN" w:bidi="ar"/>
              </w:rPr>
              <w:t>供电方案答复</w:t>
            </w:r>
          </w:p>
        </w:tc>
        <w:tc>
          <w:tcPr>
            <w:tcW w:w="1271"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b/>
                <w:bCs/>
                <w:i w:val="0"/>
                <w:iCs w:val="0"/>
                <w:color w:val="000000"/>
                <w:sz w:val="21"/>
                <w:szCs w:val="21"/>
                <w:u w:val="none"/>
              </w:rPr>
            </w:pPr>
            <w:r>
              <w:rPr>
                <w:rFonts w:ascii="仿宋_GB2312" w:eastAsia="仿宋_GB2312" w:hAnsi="宋体" w:cs="仿宋_GB2312" w:hint="eastAsia"/>
                <w:b/>
                <w:bCs/>
                <w:i w:val="0"/>
                <w:iCs w:val="0"/>
                <w:color w:val="000000"/>
                <w:kern w:val="0"/>
                <w:sz w:val="21"/>
                <w:szCs w:val="21"/>
                <w:u w:val="none"/>
                <w:lang w:val="en-US" w:eastAsia="zh-CN" w:bidi="ar"/>
              </w:rPr>
              <w:t>竣工检验和装表接电</w:t>
            </w:r>
          </w:p>
        </w:tc>
        <w:tc>
          <w:tcPr>
            <w:tcW w:w="1027"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b/>
                <w:bCs/>
                <w:i w:val="0"/>
                <w:iCs w:val="0"/>
                <w:color w:val="000000"/>
                <w:kern w:val="0"/>
                <w:sz w:val="21"/>
                <w:szCs w:val="21"/>
                <w:u w:val="none"/>
                <w:lang w:val="en-US" w:eastAsia="zh-CN" w:bidi="ar"/>
              </w:rPr>
            </w:pPr>
            <w:r>
              <w:rPr>
                <w:rFonts w:ascii="仿宋_GB2312" w:eastAsia="仿宋_GB2312" w:hAnsi="宋体" w:cs="仿宋_GB2312" w:hint="eastAsia"/>
                <w:b/>
                <w:bCs/>
                <w:i w:val="0"/>
                <w:iCs w:val="0"/>
                <w:color w:val="000000"/>
                <w:kern w:val="0"/>
                <w:sz w:val="21"/>
                <w:szCs w:val="21"/>
                <w:u w:val="none"/>
                <w:lang w:val="en-US" w:eastAsia="zh-CN" w:bidi="ar"/>
              </w:rPr>
              <w:t>合计办理时间</w:t>
            </w:r>
          </w:p>
        </w:tc>
      </w:tr>
      <w:tr>
        <w:tblPrEx>
          <w:tblW w:w="4998" w:type="pct"/>
          <w:tblInd w:w="0" w:type="dxa"/>
          <w:shd w:val="clear" w:color="auto" w:fill="auto"/>
          <w:tblCellMar>
            <w:top w:w="0" w:type="dxa"/>
            <w:left w:w="108" w:type="dxa"/>
            <w:bottom w:w="0" w:type="dxa"/>
            <w:right w:w="108" w:type="dxa"/>
          </w:tblCellMar>
        </w:tblPrEx>
        <w:trPr>
          <w:trHeight w:val="348"/>
        </w:trPr>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i w:val="0"/>
                <w:iCs w:val="0"/>
                <w:color w:val="000000"/>
                <w:sz w:val="21"/>
                <w:szCs w:val="21"/>
                <w:u w:val="none"/>
              </w:rPr>
            </w:pPr>
            <w:r>
              <w:rPr>
                <w:rFonts w:ascii="仿宋_GB2312" w:eastAsia="仿宋_GB2312" w:hAnsi="宋体" w:cs="仿宋_GB2312" w:hint="eastAsia"/>
                <w:i w:val="0"/>
                <w:iCs w:val="0"/>
                <w:color w:val="000000"/>
                <w:kern w:val="0"/>
                <w:sz w:val="21"/>
                <w:szCs w:val="21"/>
                <w:u w:val="none"/>
                <w:lang w:val="en-US" w:eastAsia="zh-CN" w:bidi="ar"/>
              </w:rPr>
              <w:t>高压单电源</w:t>
            </w:r>
          </w:p>
        </w:tc>
        <w:tc>
          <w:tcPr>
            <w:tcW w:w="929"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i w:val="0"/>
                <w:iCs w:val="0"/>
                <w:color w:val="000000"/>
                <w:sz w:val="21"/>
                <w:szCs w:val="21"/>
                <w:u w:val="none"/>
              </w:rPr>
            </w:pPr>
            <w:r>
              <w:rPr>
                <w:rFonts w:ascii="仿宋_GB2312" w:eastAsia="仿宋_GB2312" w:hAnsi="宋体" w:cs="仿宋_GB2312" w:hint="eastAsia"/>
                <w:i w:val="0"/>
                <w:iCs w:val="0"/>
                <w:color w:val="000000"/>
                <w:kern w:val="0"/>
                <w:sz w:val="21"/>
                <w:szCs w:val="21"/>
                <w:u w:val="none"/>
                <w:lang w:val="en-US" w:eastAsia="zh-CN" w:bidi="ar"/>
              </w:rPr>
              <w:t>1</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i w:val="0"/>
                <w:iCs w:val="0"/>
                <w:color w:val="000000"/>
                <w:sz w:val="21"/>
                <w:szCs w:val="21"/>
                <w:u w:val="none"/>
              </w:rPr>
            </w:pPr>
            <w:r>
              <w:rPr>
                <w:rFonts w:ascii="仿宋_GB2312" w:eastAsia="仿宋_GB2312" w:hAnsi="宋体" w:cs="仿宋_GB2312" w:hint="eastAsia"/>
                <w:i w:val="0"/>
                <w:iCs w:val="0"/>
                <w:color w:val="000000"/>
                <w:kern w:val="0"/>
                <w:sz w:val="21"/>
                <w:szCs w:val="21"/>
                <w:u w:val="none"/>
                <w:lang w:val="en-US" w:eastAsia="zh-CN" w:bidi="ar"/>
              </w:rPr>
              <w:t>10</w:t>
            </w:r>
          </w:p>
        </w:tc>
        <w:tc>
          <w:tcPr>
            <w:tcW w:w="1271"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i w:val="0"/>
                <w:iCs w:val="0"/>
                <w:color w:val="000000"/>
                <w:sz w:val="21"/>
                <w:szCs w:val="21"/>
                <w:u w:val="none"/>
              </w:rPr>
            </w:pPr>
            <w:r>
              <w:rPr>
                <w:rFonts w:ascii="仿宋_GB2312" w:eastAsia="仿宋_GB2312" w:hAnsi="宋体" w:cs="仿宋_GB2312" w:hint="eastAsia"/>
                <w:i w:val="0"/>
                <w:iCs w:val="0"/>
                <w:color w:val="000000"/>
                <w:kern w:val="0"/>
                <w:sz w:val="21"/>
                <w:szCs w:val="21"/>
                <w:u w:val="none"/>
                <w:lang w:val="en-US" w:eastAsia="zh-CN" w:bidi="ar"/>
              </w:rPr>
              <w:t>6</w:t>
            </w:r>
          </w:p>
        </w:tc>
        <w:tc>
          <w:tcPr>
            <w:tcW w:w="1027"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i w:val="0"/>
                <w:iCs w:val="0"/>
                <w:color w:val="000000"/>
                <w:kern w:val="0"/>
                <w:sz w:val="21"/>
                <w:szCs w:val="21"/>
                <w:u w:val="none"/>
                <w:lang w:val="en-US" w:eastAsia="zh-CN" w:bidi="ar"/>
              </w:rPr>
            </w:pPr>
            <w:r>
              <w:rPr>
                <w:rFonts w:ascii="仿宋_GB2312" w:eastAsia="仿宋_GB2312" w:hAnsi="宋体" w:cs="仿宋_GB2312" w:hint="eastAsia"/>
                <w:i w:val="0"/>
                <w:iCs w:val="0"/>
                <w:color w:val="000000"/>
                <w:kern w:val="0"/>
                <w:sz w:val="21"/>
                <w:szCs w:val="21"/>
                <w:u w:val="none"/>
                <w:lang w:val="en-US" w:eastAsia="zh-CN" w:bidi="ar"/>
              </w:rPr>
              <w:t>17</w:t>
            </w:r>
          </w:p>
        </w:tc>
      </w:tr>
      <w:tr>
        <w:tblPrEx>
          <w:tblW w:w="4998" w:type="pct"/>
          <w:tblInd w:w="0" w:type="dxa"/>
          <w:shd w:val="clear" w:color="auto" w:fill="auto"/>
          <w:tblCellMar>
            <w:top w:w="0" w:type="dxa"/>
            <w:left w:w="108" w:type="dxa"/>
            <w:bottom w:w="0" w:type="dxa"/>
            <w:right w:w="108" w:type="dxa"/>
          </w:tblCellMar>
        </w:tblPrEx>
        <w:trPr>
          <w:trHeight w:val="308"/>
        </w:trPr>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i w:val="0"/>
                <w:iCs w:val="0"/>
                <w:color w:val="000000"/>
                <w:sz w:val="21"/>
                <w:szCs w:val="21"/>
                <w:u w:val="none"/>
              </w:rPr>
            </w:pPr>
            <w:r>
              <w:rPr>
                <w:rFonts w:ascii="仿宋_GB2312" w:eastAsia="仿宋_GB2312" w:hAnsi="宋体" w:cs="仿宋_GB2312" w:hint="eastAsia"/>
                <w:i w:val="0"/>
                <w:iCs w:val="0"/>
                <w:color w:val="000000"/>
                <w:kern w:val="0"/>
                <w:sz w:val="21"/>
                <w:szCs w:val="21"/>
                <w:u w:val="none"/>
                <w:lang w:val="en-US" w:eastAsia="zh-CN" w:bidi="ar"/>
              </w:rPr>
              <w:t>高压双电源</w:t>
            </w:r>
          </w:p>
        </w:tc>
        <w:tc>
          <w:tcPr>
            <w:tcW w:w="929"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i w:val="0"/>
                <w:iCs w:val="0"/>
                <w:color w:val="000000"/>
                <w:sz w:val="21"/>
                <w:szCs w:val="21"/>
                <w:u w:val="none"/>
              </w:rPr>
            </w:pPr>
            <w:r>
              <w:rPr>
                <w:rFonts w:ascii="仿宋_GB2312" w:eastAsia="仿宋_GB2312" w:hAnsi="宋体" w:cs="仿宋_GB2312" w:hint="eastAsia"/>
                <w:i w:val="0"/>
                <w:iCs w:val="0"/>
                <w:color w:val="000000"/>
                <w:kern w:val="0"/>
                <w:sz w:val="21"/>
                <w:szCs w:val="21"/>
                <w:u w:val="none"/>
                <w:lang w:val="en-US" w:eastAsia="zh-CN" w:bidi="ar"/>
              </w:rPr>
              <w:t>1</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i w:val="0"/>
                <w:iCs w:val="0"/>
                <w:color w:val="000000"/>
                <w:sz w:val="21"/>
                <w:szCs w:val="21"/>
                <w:u w:val="none"/>
              </w:rPr>
            </w:pPr>
            <w:r>
              <w:rPr>
                <w:rFonts w:ascii="仿宋_GB2312" w:eastAsia="仿宋_GB2312" w:hAnsi="宋体" w:cs="仿宋_GB2312" w:hint="eastAsia"/>
                <w:i w:val="0"/>
                <w:iCs w:val="0"/>
                <w:color w:val="000000"/>
                <w:kern w:val="0"/>
                <w:sz w:val="21"/>
                <w:szCs w:val="21"/>
                <w:u w:val="none"/>
                <w:lang w:val="en-US" w:eastAsia="zh-CN" w:bidi="ar"/>
              </w:rPr>
              <w:t>20</w:t>
            </w:r>
          </w:p>
        </w:tc>
        <w:tc>
          <w:tcPr>
            <w:tcW w:w="1271"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i w:val="0"/>
                <w:iCs w:val="0"/>
                <w:color w:val="000000"/>
                <w:sz w:val="21"/>
                <w:szCs w:val="21"/>
                <w:u w:val="none"/>
              </w:rPr>
            </w:pPr>
            <w:r>
              <w:rPr>
                <w:rFonts w:ascii="仿宋_GB2312" w:eastAsia="仿宋_GB2312" w:hAnsi="宋体" w:cs="仿宋_GB2312" w:hint="eastAsia"/>
                <w:i w:val="0"/>
                <w:iCs w:val="0"/>
                <w:color w:val="000000"/>
                <w:kern w:val="0"/>
                <w:sz w:val="21"/>
                <w:szCs w:val="21"/>
                <w:u w:val="none"/>
                <w:lang w:val="en-US" w:eastAsia="zh-CN" w:bidi="ar"/>
              </w:rPr>
              <w:t>6</w:t>
            </w:r>
          </w:p>
        </w:tc>
        <w:tc>
          <w:tcPr>
            <w:tcW w:w="1027"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jc w:val="center"/>
              <w:textAlignment w:val="center"/>
              <w:rPr>
                <w:rFonts w:ascii="仿宋_GB2312" w:eastAsia="仿宋_GB2312" w:hAnsi="宋体" w:cs="仿宋_GB2312" w:hint="eastAsia"/>
                <w:i w:val="0"/>
                <w:iCs w:val="0"/>
                <w:color w:val="000000"/>
                <w:kern w:val="0"/>
                <w:sz w:val="21"/>
                <w:szCs w:val="21"/>
                <w:u w:val="none"/>
                <w:lang w:val="en-US" w:eastAsia="zh-CN" w:bidi="ar"/>
              </w:rPr>
            </w:pPr>
            <w:r>
              <w:rPr>
                <w:rFonts w:ascii="仿宋_GB2312" w:eastAsia="仿宋_GB2312" w:hAnsi="宋体" w:cs="仿宋_GB2312" w:hint="eastAsia"/>
                <w:i w:val="0"/>
                <w:iCs w:val="0"/>
                <w:color w:val="000000"/>
                <w:kern w:val="0"/>
                <w:sz w:val="21"/>
                <w:szCs w:val="21"/>
                <w:u w:val="none"/>
                <w:lang w:val="en-US" w:eastAsia="zh-CN" w:bidi="ar"/>
              </w:rPr>
              <w:t>27</w:t>
            </w:r>
          </w:p>
        </w:tc>
      </w:tr>
    </w:tbl>
    <w:p>
      <w:pPr>
        <w:spacing w:before="0" w:after="0" w:line="300" w:lineRule="exact"/>
        <w:ind w:firstLine="420" w:firstLineChars="200"/>
        <w:jc w:val="left"/>
        <w:rPr>
          <w:rFonts w:ascii="宋体" w:eastAsia="宋体" w:hAnsi="宋体" w:cs="宋体" w:hint="eastAsia"/>
          <w:color w:val="auto"/>
          <w:sz w:val="18"/>
          <w:szCs w:val="18"/>
          <w:highlight w:val="none"/>
          <w:lang w:val="en-US" w:eastAsia="zh-CN"/>
        </w:rPr>
      </w:pPr>
      <w:r>
        <w:rPr>
          <w:rFonts w:ascii="宋体" w:eastAsia="宋体" w:hAnsi="宋体" w:cs="宋体" w:hint="eastAsia"/>
          <w:color w:val="auto"/>
          <w:sz w:val="18"/>
          <w:szCs w:val="18"/>
          <w:highlight w:val="none"/>
          <w:lang w:val="en-US" w:eastAsia="zh-CN"/>
        </w:rPr>
        <w:t>注：受电工程竣工后，请您及时办理报验申请，我公司将在</w:t>
      </w:r>
      <w:r>
        <w:rPr>
          <w:rFonts w:ascii="宋体" w:eastAsia="宋体" w:hAnsi="宋体" w:cs="宋体" w:hint="eastAsia"/>
          <w:b/>
          <w:bCs/>
          <w:color w:val="auto"/>
          <w:sz w:val="18"/>
          <w:szCs w:val="18"/>
          <w:highlight w:val="none"/>
          <w:lang w:val="en-US" w:eastAsia="zh-CN"/>
        </w:rPr>
        <w:t>受理申请后3个工作日内完成竣工检验</w:t>
      </w:r>
      <w:r>
        <w:rPr>
          <w:rFonts w:ascii="宋体" w:eastAsia="宋体" w:hAnsi="宋体" w:cs="宋体" w:hint="eastAsia"/>
          <w:color w:val="auto"/>
          <w:sz w:val="18"/>
          <w:szCs w:val="18"/>
          <w:highlight w:val="none"/>
          <w:lang w:val="en-US" w:eastAsia="zh-CN"/>
        </w:rPr>
        <w:t>，</w:t>
      </w:r>
      <w:r>
        <w:rPr>
          <w:rFonts w:ascii="宋体" w:eastAsia="宋体" w:hAnsi="宋体" w:cs="宋体" w:hint="eastAsia"/>
          <w:b/>
          <w:bCs/>
          <w:color w:val="auto"/>
          <w:sz w:val="18"/>
          <w:szCs w:val="18"/>
          <w:highlight w:val="none"/>
          <w:lang w:val="en-US" w:eastAsia="zh-CN"/>
        </w:rPr>
        <w:t>检验合格3个工作日内安排装表接电</w:t>
      </w:r>
      <w:r>
        <w:rPr>
          <w:rFonts w:ascii="宋体" w:eastAsia="宋体" w:hAnsi="宋体" w:cs="宋体" w:hint="eastAsia"/>
          <w:color w:val="auto"/>
          <w:sz w:val="18"/>
          <w:szCs w:val="18"/>
          <w:highlight w:val="none"/>
          <w:lang w:val="en-US" w:eastAsia="zh-CN"/>
        </w:rPr>
        <w:t>。如受电工程竣工检验不合格，为确保您及时接电，请按照《客户受电工程竣工检验意见书》尽快整改，整改完成后再次申请验收。</w:t>
      </w:r>
    </w:p>
    <w:p>
      <w:pPr>
        <w:spacing w:line="400" w:lineRule="exact"/>
        <w:ind w:firstLine="420" w:firstLineChars="200"/>
        <w:rPr>
          <w:rFonts w:ascii="方正大黑简体" w:eastAsia="方正大黑简体" w:hAnsi="方正大黑简体" w:cs="方正大黑简体"/>
          <w:b/>
          <w:bCs/>
          <w:color w:val="000000" w:themeColor="text1"/>
          <w:sz w:val="24"/>
          <w:highlight w:val="none"/>
          <w14:textFill>
            <w14:solidFill>
              <w14:schemeClr w14:val="tx1"/>
            </w14:solidFill>
          </w14:textFill>
        </w:rPr>
      </w:pPr>
      <w:r>
        <w:rPr>
          <w:rFonts w:ascii="方正大黑简体" w:eastAsia="方正大黑简体" w:hAnsi="方正大黑简体" w:cs="方正大黑简体" w:hint="eastAsia"/>
          <w:b/>
          <w:bCs/>
          <w:color w:val="000000" w:themeColor="text1"/>
          <w:sz w:val="24"/>
          <w:highlight w:val="none"/>
          <w:lang w:val="en-US" w:eastAsia="zh-CN"/>
          <w14:textFill>
            <w14:solidFill>
              <w14:schemeClr w14:val="tx1"/>
            </w14:solidFill>
          </w14:textFill>
        </w:rPr>
        <w:t>三</w:t>
      </w:r>
      <w:r>
        <w:rPr>
          <w:rFonts w:ascii="方正大黑简体" w:eastAsia="方正大黑简体" w:hAnsi="方正大黑简体" w:cs="方正大黑简体" w:hint="eastAsia"/>
          <w:b/>
          <w:bCs/>
          <w:color w:val="000000" w:themeColor="text1"/>
          <w:sz w:val="24"/>
          <w:highlight w:val="none"/>
          <w14:textFill>
            <w14:solidFill>
              <w14:schemeClr w14:val="tx1"/>
            </w14:solidFill>
          </w14:textFill>
        </w:rPr>
        <w:t>、</w:t>
      </w:r>
      <w:r>
        <w:rPr>
          <w:rFonts w:ascii="方正大黑简体" w:eastAsia="方正大黑简体" w:hAnsi="方正大黑简体" w:cs="方正大黑简体" w:hint="eastAsia"/>
          <w:b/>
          <w:bCs/>
          <w:color w:val="000000" w:themeColor="text1"/>
          <w:sz w:val="24"/>
          <w:highlight w:val="none"/>
          <w:lang w:val="en-US" w:eastAsia="zh-CN"/>
          <w14:textFill>
            <w14:solidFill>
              <w14:schemeClr w14:val="tx1"/>
            </w14:solidFill>
          </w14:textFill>
        </w:rPr>
        <w:t>各环节</w:t>
      </w:r>
      <w:r>
        <w:rPr>
          <w:rFonts w:ascii="方正大黑简体" w:eastAsia="方正大黑简体" w:hAnsi="方正大黑简体" w:cs="方正大黑简体" w:hint="eastAsia"/>
          <w:b/>
          <w:bCs/>
          <w:color w:val="000000" w:themeColor="text1"/>
          <w:sz w:val="24"/>
          <w:highlight w:val="none"/>
          <w14:textFill>
            <w14:solidFill>
              <w14:schemeClr w14:val="tx1"/>
            </w14:solidFill>
          </w14:textFill>
        </w:rPr>
        <w:t>所需材料</w:t>
      </w:r>
    </w:p>
    <w:tbl>
      <w:tblPr>
        <w:tblStyle w:val="TableGrid"/>
        <w:tblW w:w="8408"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5993"/>
        <w:gridCol w:w="2415"/>
      </w:tblGrid>
      <w:tr>
        <w:tblPrEx>
          <w:tblW w:w="8408"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5993" w:type="dxa"/>
          </w:tcPr>
          <w:p>
            <w:pPr>
              <w:keepNext w:val="0"/>
              <w:keepLines w:val="0"/>
              <w:pageBreakBefore w:val="0"/>
              <w:widowControl w:val="0"/>
              <w:kinsoku/>
              <w:wordWrap/>
              <w:overflowPunct/>
              <w:topLinePunct w:val="0"/>
              <w:autoSpaceDE/>
              <w:autoSpaceDN/>
              <w:bidi w:val="0"/>
              <w:snapToGrid/>
              <w:spacing w:line="300" w:lineRule="exact"/>
              <w:jc w:val="center"/>
              <w:textAlignment w:val="auto"/>
              <w:outlineLvl w:val="9"/>
              <w:rPr>
                <w:rFonts w:ascii="仿宋_GB2312" w:eastAsia="仿宋_GB2312" w:hAnsi="仿宋_GB2312" w:cs="仿宋_GB2312" w:hint="eastAsia"/>
                <w:b/>
                <w:bCs/>
                <w:color w:val="000000" w:themeColor="text1"/>
                <w:sz w:val="21"/>
                <w:szCs w:val="21"/>
                <w:highlight w:val="none"/>
                <w:vertAlign w:val="baseline"/>
                <w:lang w:val="en-US" w:eastAsia="zh-CN"/>
                <w14:textFill>
                  <w14:solidFill>
                    <w14:schemeClr w14:val="tx1"/>
                  </w14:solidFill>
                </w14:textFill>
              </w:rPr>
            </w:pPr>
            <w:r>
              <w:rPr>
                <w:rFonts w:ascii="仿宋_GB2312" w:eastAsia="仿宋_GB2312" w:hAnsi="仿宋_GB2312" w:cs="仿宋_GB2312" w:hint="eastAsia"/>
                <w:b/>
                <w:bCs/>
                <w:color w:val="000000" w:themeColor="text1"/>
                <w:sz w:val="21"/>
                <w:szCs w:val="21"/>
                <w:highlight w:val="none"/>
                <w:vertAlign w:val="baseline"/>
                <w:lang w:val="en-US" w:eastAsia="zh-CN"/>
                <w14:textFill>
                  <w14:solidFill>
                    <w14:schemeClr w14:val="tx1"/>
                  </w14:solidFill>
                </w14:textFill>
              </w:rPr>
              <w:t>业务受理</w:t>
            </w:r>
          </w:p>
          <w:p>
            <w:pPr>
              <w:keepNext w:val="0"/>
              <w:keepLines w:val="0"/>
              <w:pageBreakBefore w:val="0"/>
              <w:widowControl w:val="0"/>
              <w:kinsoku/>
              <w:wordWrap/>
              <w:overflowPunct/>
              <w:topLinePunct w:val="0"/>
              <w:autoSpaceDE/>
              <w:autoSpaceDN/>
              <w:bidi w:val="0"/>
              <w:snapToGrid/>
              <w:spacing w:line="300" w:lineRule="exact"/>
              <w:jc w:val="center"/>
              <w:textAlignment w:val="auto"/>
              <w:outlineLvl w:val="9"/>
              <w:rPr>
                <w:rFonts w:ascii="仿宋_GB2312" w:eastAsia="仿宋_GB2312" w:hAnsi="仿宋_GB2312" w:cs="仿宋_GB2312" w:hint="default"/>
                <w:b/>
                <w:bCs/>
                <w:color w:val="000000" w:themeColor="text1"/>
                <w:sz w:val="21"/>
                <w:szCs w:val="21"/>
                <w:highlight w:val="none"/>
                <w:vertAlign w:val="baseline"/>
                <w:lang w:val="en-US" w:eastAsia="zh-CN"/>
                <w14:textFill>
                  <w14:solidFill>
                    <w14:schemeClr w14:val="tx1"/>
                  </w14:solidFill>
                </w14:textFill>
              </w:rPr>
            </w:pPr>
            <w:r>
              <w:rPr>
                <w:rFonts w:ascii="仿宋_GB2312" w:eastAsia="仿宋_GB2312" w:hAnsi="仿宋_GB2312" w:cs="仿宋_GB2312" w:hint="eastAsia"/>
                <w:b/>
                <w:bCs/>
                <w:color w:val="000000" w:themeColor="text1"/>
                <w:sz w:val="21"/>
                <w:szCs w:val="21"/>
                <w:highlight w:val="none"/>
                <w:vertAlign w:val="baseline"/>
                <w:lang w:val="en-US" w:eastAsia="zh-CN"/>
                <w14:textFill>
                  <w14:solidFill>
                    <w14:schemeClr w14:val="tx1"/>
                  </w14:solidFill>
                </w14:textFill>
              </w:rPr>
              <w:t>（2项）</w:t>
            </w:r>
          </w:p>
        </w:tc>
        <w:tc>
          <w:tcPr>
            <w:tcW w:w="2415" w:type="dxa"/>
          </w:tcPr>
          <w:p>
            <w:pPr>
              <w:keepNext w:val="0"/>
              <w:keepLines w:val="0"/>
              <w:pageBreakBefore w:val="0"/>
              <w:widowControl w:val="0"/>
              <w:kinsoku/>
              <w:wordWrap/>
              <w:overflowPunct/>
              <w:topLinePunct w:val="0"/>
              <w:autoSpaceDE/>
              <w:autoSpaceDN/>
              <w:bidi w:val="0"/>
              <w:snapToGrid/>
              <w:spacing w:line="300" w:lineRule="exact"/>
              <w:jc w:val="center"/>
              <w:textAlignment w:val="auto"/>
              <w:outlineLvl w:val="9"/>
              <w:rPr>
                <w:rFonts w:ascii="仿宋_GB2312" w:eastAsia="仿宋_GB2312" w:hAnsi="仿宋_GB2312" w:cs="仿宋_GB2312" w:hint="eastAsia"/>
                <w:b/>
                <w:bCs/>
                <w:color w:val="000000" w:themeColor="text1"/>
                <w:sz w:val="21"/>
                <w:szCs w:val="21"/>
                <w:highlight w:val="none"/>
                <w:vertAlign w:val="baseline"/>
                <w:lang w:val="en-US" w:eastAsia="zh-CN"/>
                <w14:textFill>
                  <w14:solidFill>
                    <w14:schemeClr w14:val="tx1"/>
                  </w14:solidFill>
                </w14:textFill>
              </w:rPr>
            </w:pPr>
            <w:r>
              <w:rPr>
                <w:rFonts w:ascii="仿宋_GB2312" w:eastAsia="仿宋_GB2312" w:hAnsi="仿宋_GB2312" w:cs="仿宋_GB2312" w:hint="eastAsia"/>
                <w:b/>
                <w:bCs/>
                <w:color w:val="000000" w:themeColor="text1"/>
                <w:sz w:val="21"/>
                <w:szCs w:val="21"/>
                <w:highlight w:val="none"/>
                <w:vertAlign w:val="baseline"/>
                <w:lang w:val="en-US" w:eastAsia="zh-CN"/>
                <w14:textFill>
                  <w14:solidFill>
                    <w14:schemeClr w14:val="tx1"/>
                  </w14:solidFill>
                </w14:textFill>
              </w:rPr>
              <w:t>竣工检验</w:t>
            </w:r>
          </w:p>
          <w:p>
            <w:pPr>
              <w:keepNext w:val="0"/>
              <w:keepLines w:val="0"/>
              <w:pageBreakBefore w:val="0"/>
              <w:widowControl w:val="0"/>
              <w:kinsoku/>
              <w:wordWrap/>
              <w:overflowPunct/>
              <w:topLinePunct w:val="0"/>
              <w:autoSpaceDE/>
              <w:autoSpaceDN/>
              <w:bidi w:val="0"/>
              <w:snapToGrid/>
              <w:spacing w:line="300" w:lineRule="exact"/>
              <w:jc w:val="center"/>
              <w:textAlignment w:val="auto"/>
              <w:outlineLvl w:val="9"/>
              <w:rPr>
                <w:rFonts w:ascii="仿宋_GB2312" w:eastAsia="仿宋_GB2312" w:hAnsi="仿宋_GB2312" w:cs="仿宋_GB2312" w:hint="eastAsia"/>
                <w:b/>
                <w:bCs/>
                <w:color w:val="000000" w:themeColor="text1"/>
                <w:sz w:val="21"/>
                <w:szCs w:val="21"/>
                <w:highlight w:val="none"/>
                <w:vertAlign w:val="baseline"/>
                <w:lang w:val="en-US" w:eastAsia="zh-CN"/>
                <w14:textFill>
                  <w14:solidFill>
                    <w14:schemeClr w14:val="tx1"/>
                  </w14:solidFill>
                </w14:textFill>
              </w:rPr>
            </w:pPr>
            <w:r>
              <w:rPr>
                <w:rFonts w:ascii="仿宋_GB2312" w:eastAsia="仿宋_GB2312" w:hAnsi="仿宋_GB2312" w:cs="仿宋_GB2312" w:hint="eastAsia"/>
                <w:b/>
                <w:bCs/>
                <w:color w:val="000000" w:themeColor="text1"/>
                <w:sz w:val="21"/>
                <w:szCs w:val="21"/>
                <w:highlight w:val="none"/>
                <w:vertAlign w:val="baseline"/>
                <w:lang w:val="en-US" w:eastAsia="zh-CN"/>
                <w14:textFill>
                  <w14:solidFill>
                    <w14:schemeClr w14:val="tx1"/>
                  </w14:solidFill>
                </w14:textFill>
              </w:rPr>
              <w:t>（2项）</w:t>
            </w:r>
          </w:p>
        </w:tc>
      </w:tr>
      <w:tr>
        <w:tblPrEx>
          <w:tblW w:w="8408" w:type="dxa"/>
          <w:tblInd w:w="61" w:type="dxa"/>
          <w:tblLayout w:type="fixed"/>
          <w:tblCellMar>
            <w:top w:w="0" w:type="dxa"/>
            <w:left w:w="108" w:type="dxa"/>
            <w:bottom w:w="0" w:type="dxa"/>
            <w:right w:w="108" w:type="dxa"/>
          </w:tblCellMar>
        </w:tblPrEx>
        <w:trPr>
          <w:trHeight w:val="1274"/>
        </w:trPr>
        <w:tc>
          <w:tcPr>
            <w:tcW w:w="5993" w:type="dxa"/>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outlineLvl w:val="9"/>
              <w:rPr>
                <w:rFonts w:ascii="仿宋_GB2312" w:eastAsia="仿宋_GB2312" w:hAnsi="仿宋_GB2312" w:cs="仿宋_GB2312" w:hint="default"/>
                <w:color w:val="auto"/>
                <w:sz w:val="21"/>
                <w:szCs w:val="21"/>
                <w:highlight w:val="none"/>
                <w:lang w:val="en-US" w:eastAsia="zh-CN"/>
              </w:rPr>
            </w:pPr>
            <w:r>
              <w:rPr>
                <w:rFonts w:ascii="仿宋_GB2312" w:eastAsia="仿宋_GB2312" w:hAnsi="仿宋_GB2312" w:cs="仿宋_GB2312" w:hint="eastAsia"/>
                <w:color w:val="auto"/>
                <w:sz w:val="21"/>
                <w:szCs w:val="21"/>
                <w:highlight w:val="none"/>
                <w:lang w:val="en-US" w:eastAsia="zh-CN"/>
              </w:rPr>
              <w:t>1.</w:t>
            </w:r>
            <w:r>
              <w:rPr>
                <w:rFonts w:ascii="仿宋_GB2312" w:eastAsia="仿宋_GB2312" w:hAnsi="仿宋_GB2312" w:cs="仿宋_GB2312" w:hint="eastAsia"/>
                <w:color w:val="auto"/>
                <w:sz w:val="21"/>
                <w:szCs w:val="21"/>
                <w:highlight w:val="none"/>
                <w:lang w:eastAsia="zh-CN"/>
              </w:rPr>
              <w:t>用电主体有效身份</w:t>
            </w:r>
            <w:r>
              <w:rPr>
                <w:rFonts w:ascii="仿宋_GB2312" w:eastAsia="仿宋_GB2312" w:hAnsi="仿宋_GB2312" w:cs="仿宋_GB2312" w:hint="eastAsia"/>
                <w:color w:val="auto"/>
                <w:sz w:val="21"/>
                <w:szCs w:val="21"/>
                <w:highlight w:val="none"/>
                <w:lang w:val="en-US" w:eastAsia="zh-CN"/>
              </w:rPr>
              <w:t>证明材料</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outlineLvl w:val="9"/>
              <w:rPr>
                <w:rFonts w:ascii="仿宋_GB2312" w:eastAsia="仿宋_GB2312" w:hAnsi="仿宋_GB2312" w:cs="仿宋_GB2312" w:hint="default"/>
                <w:color w:val="auto"/>
                <w:sz w:val="21"/>
                <w:szCs w:val="21"/>
                <w:highlight w:val="none"/>
                <w:lang w:val="en-US" w:eastAsia="zh-CN"/>
              </w:rPr>
            </w:pPr>
            <w:r>
              <w:rPr>
                <w:rFonts w:ascii="仿宋_GB2312" w:eastAsia="仿宋_GB2312" w:hAnsi="仿宋_GB2312" w:cs="仿宋_GB2312" w:hint="eastAsia"/>
                <w:color w:val="auto"/>
                <w:sz w:val="21"/>
                <w:szCs w:val="21"/>
                <w:highlight w:val="none"/>
                <w:lang w:val="en-US" w:eastAsia="zh-CN"/>
              </w:rPr>
              <w:t>2.</w:t>
            </w:r>
            <w:r>
              <w:rPr>
                <w:rFonts w:ascii="仿宋_GB2312" w:eastAsia="仿宋_GB2312" w:hAnsi="仿宋_GB2312" w:cs="仿宋_GB2312" w:hint="eastAsia"/>
                <w:color w:val="auto"/>
                <w:sz w:val="21"/>
                <w:szCs w:val="21"/>
                <w:highlight w:val="none"/>
                <w:lang w:eastAsia="zh-CN"/>
              </w:rPr>
              <w:t>用电地址物业权属</w:t>
            </w:r>
            <w:r>
              <w:rPr>
                <w:rFonts w:ascii="仿宋_GB2312" w:eastAsia="仿宋_GB2312" w:hAnsi="仿宋_GB2312" w:cs="仿宋_GB2312" w:hint="eastAsia"/>
                <w:color w:val="auto"/>
                <w:sz w:val="21"/>
                <w:szCs w:val="21"/>
                <w:highlight w:val="none"/>
                <w:lang w:val="en-US" w:eastAsia="zh-CN"/>
              </w:rPr>
              <w:t>证明材料</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outlineLvl w:val="9"/>
              <w:rPr>
                <w:rFonts w:hint="eastAsia"/>
                <w:lang w:eastAsia="zh-CN"/>
              </w:rPr>
            </w:pPr>
            <w:r>
              <w:rPr>
                <w:rFonts w:ascii="仿宋_GB2312" w:eastAsia="仿宋_GB2312" w:hAnsi="仿宋_GB2312" w:cs="仿宋_GB2312" w:hint="eastAsia"/>
                <w:color w:val="auto"/>
                <w:sz w:val="21"/>
                <w:szCs w:val="21"/>
                <w:highlight w:val="none"/>
                <w:lang w:eastAsia="zh-CN"/>
              </w:rPr>
              <w:t>注：若为既有居民小区可用以下材料替代物业权属证明：小区业主代表或其委托的管理单位与报装主体签订的同意接电的合作协议复印件（加盖公章）或小区业主代表或其委托的管理单位出具的《电力接入说明》。</w:t>
            </w:r>
          </w:p>
        </w:tc>
        <w:tc>
          <w:tcPr>
            <w:tcW w:w="2415" w:type="dxa"/>
          </w:tcPr>
          <w:p>
            <w:pPr>
              <w:keepNext w:val="0"/>
              <w:keepLines w:val="0"/>
              <w:pageBreakBefore w:val="0"/>
              <w:widowControl w:val="0"/>
              <w:kinsoku/>
              <w:wordWrap/>
              <w:overflowPunct/>
              <w:topLinePunct w:val="0"/>
              <w:autoSpaceDE/>
              <w:autoSpaceDN/>
              <w:bidi w:val="0"/>
              <w:adjustRightInd w:val="0"/>
              <w:snapToGrid/>
              <w:spacing w:line="360" w:lineRule="exact"/>
              <w:ind w:firstLine="0" w:firstLineChars="0"/>
              <w:textAlignment w:val="auto"/>
              <w:outlineLvl w:val="9"/>
              <w:rPr>
                <w:rFonts w:ascii="仿宋_GB2312" w:eastAsia="仿宋_GB2312" w:hAnsi="仿宋_GB2312" w:cs="仿宋_GB2312" w:hint="default"/>
                <w:color w:val="auto"/>
                <w:sz w:val="21"/>
                <w:szCs w:val="21"/>
                <w:highlight w:val="none"/>
                <w:lang w:val="en-US" w:eastAsia="zh-CN"/>
              </w:rPr>
            </w:pPr>
            <w:r>
              <w:rPr>
                <w:rFonts w:ascii="仿宋_GB2312" w:eastAsia="仿宋_GB2312" w:hAnsi="仿宋_GB2312" w:cs="仿宋_GB2312" w:hint="eastAsia"/>
                <w:color w:val="auto"/>
                <w:sz w:val="21"/>
                <w:szCs w:val="21"/>
                <w:highlight w:val="none"/>
                <w:lang w:val="en-US" w:eastAsia="zh-CN"/>
              </w:rPr>
              <w:t>1.</w:t>
            </w:r>
            <w:r>
              <w:rPr>
                <w:rFonts w:ascii="仿宋_GB2312" w:eastAsia="仿宋_GB2312" w:hAnsi="仿宋_GB2312" w:cs="仿宋_GB2312" w:hint="eastAsia"/>
                <w:color w:val="auto"/>
                <w:sz w:val="21"/>
                <w:szCs w:val="21"/>
                <w:highlight w:val="none"/>
                <w:lang w:eastAsia="zh-CN"/>
              </w:rPr>
              <w:t>施工单位资质证明材料（</w:t>
            </w:r>
            <w:r>
              <w:rPr>
                <w:rFonts w:ascii="仿宋_GB2312" w:eastAsia="仿宋_GB2312" w:hAnsi="仿宋_GB2312" w:cs="仿宋_GB2312" w:hint="eastAsia"/>
                <w:color w:val="auto"/>
                <w:sz w:val="21"/>
                <w:szCs w:val="21"/>
                <w:highlight w:val="none"/>
                <w:lang w:val="en-US" w:eastAsia="zh-CN"/>
              </w:rPr>
              <w:t>仅无中间检查环节客户提供</w:t>
            </w:r>
            <w:r>
              <w:rPr>
                <w:rFonts w:ascii="仿宋_GB2312" w:eastAsia="仿宋_GB2312" w:hAnsi="仿宋_GB2312" w:cs="仿宋_GB2312" w:hint="eastAsia"/>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outlineLvl w:val="9"/>
              <w:rPr>
                <w:rFonts w:ascii="仿宋_GB2312" w:eastAsia="仿宋_GB2312" w:hAnsi="仿宋_GB2312" w:cs="仿宋_GB2312" w:hint="eastAsia"/>
                <w:b/>
                <w:bCs/>
                <w:color w:val="auto"/>
                <w:sz w:val="21"/>
                <w:szCs w:val="21"/>
                <w:highlight w:val="none"/>
                <w:vertAlign w:val="baseline"/>
                <w:lang w:eastAsia="zh-CN"/>
              </w:rPr>
            </w:pPr>
            <w:r>
              <w:rPr>
                <w:rFonts w:ascii="仿宋_GB2312" w:eastAsia="仿宋_GB2312" w:hAnsi="仿宋_GB2312" w:cs="仿宋_GB2312" w:hint="eastAsia"/>
                <w:color w:val="auto"/>
                <w:sz w:val="21"/>
                <w:szCs w:val="21"/>
                <w:highlight w:val="none"/>
                <w:lang w:val="en-US" w:eastAsia="zh-CN"/>
              </w:rPr>
              <w:t>2.</w:t>
            </w:r>
            <w:r>
              <w:rPr>
                <w:rFonts w:ascii="仿宋_GB2312" w:eastAsia="仿宋_GB2312" w:hAnsi="仿宋_GB2312" w:cs="仿宋_GB2312" w:hint="eastAsia"/>
                <w:color w:val="auto"/>
                <w:sz w:val="21"/>
                <w:szCs w:val="21"/>
                <w:highlight w:val="none"/>
                <w:lang w:eastAsia="zh-CN"/>
              </w:rPr>
              <w:t>工程竣工报告（含竣工图纸）</w:t>
            </w:r>
          </w:p>
        </w:tc>
      </w:tr>
    </w:tbl>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方正大黑简体" w:eastAsia="方正大黑简体" w:hAnsi="方正大黑简体" w:cs="方正大黑简体" w:hint="eastAsia"/>
          <w:b/>
          <w:bCs/>
          <w:color w:val="auto"/>
          <w:sz w:val="24"/>
          <w:highlight w:val="none"/>
          <w:lang w:val="en-US" w:eastAsia="zh-CN"/>
        </w:rPr>
      </w:pPr>
      <w:r>
        <w:rPr>
          <w:rFonts w:ascii="方正大黑简体" w:eastAsia="方正大黑简体" w:hAnsi="方正大黑简体" w:cs="方正大黑简体" w:hint="eastAsia"/>
          <w:b/>
          <w:bCs/>
          <w:color w:val="auto"/>
          <w:sz w:val="24"/>
          <w:highlight w:val="none"/>
          <w:lang w:eastAsia="zh-CN"/>
        </w:rPr>
        <w:t>四</w:t>
      </w:r>
      <w:r>
        <w:rPr>
          <w:rFonts w:ascii="方正大黑简体" w:eastAsia="方正大黑简体" w:hAnsi="方正大黑简体" w:cs="方正大黑简体" w:hint="eastAsia"/>
          <w:b/>
          <w:bCs/>
          <w:color w:val="auto"/>
          <w:sz w:val="24"/>
          <w:highlight w:val="none"/>
        </w:rPr>
        <w:t>、</w:t>
      </w:r>
      <w:r>
        <w:rPr>
          <w:rFonts w:ascii="方正大黑简体" w:eastAsia="方正大黑简体" w:hAnsi="方正大黑简体" w:cs="方正大黑简体" w:hint="eastAsia"/>
          <w:b/>
          <w:bCs/>
          <w:color w:val="auto"/>
          <w:sz w:val="24"/>
          <w:highlight w:val="none"/>
          <w:lang w:eastAsia="zh-CN"/>
        </w:rPr>
        <w:t>办电成本</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eastAsia="宋体" w:hAnsi="宋体" w:cs="宋体" w:hint="eastAsia"/>
          <w:color w:val="auto"/>
          <w:sz w:val="24"/>
          <w:highlight w:val="none"/>
          <w:lang w:val="en-US" w:eastAsia="zh-CN"/>
        </w:rPr>
      </w:pPr>
      <w:r>
        <w:rPr>
          <w:rFonts w:ascii="宋体" w:eastAsia="宋体" w:hAnsi="宋体" w:cs="宋体" w:hint="eastAsia"/>
          <w:color w:val="auto"/>
          <w:sz w:val="24"/>
          <w:highlight w:val="none"/>
          <w:lang w:val="en-US" w:eastAsia="zh-CN"/>
        </w:rPr>
        <w:t>1.对高压用户实行就近就便接入电网，降低客户办电成本。供电企业根据《国务院办公厅转发国家发展改革委等部门关于清</w:t>
      </w:r>
      <w:bookmarkStart w:id="0" w:name="_GoBack"/>
      <w:bookmarkEnd w:id="0"/>
      <w:r>
        <w:rPr>
          <w:rFonts w:ascii="宋体" w:eastAsia="宋体" w:hAnsi="宋体" w:cs="宋体" w:hint="eastAsia"/>
          <w:color w:val="auto"/>
          <w:sz w:val="24"/>
          <w:highlight w:val="none"/>
          <w:lang w:val="en-US" w:eastAsia="zh-CN"/>
        </w:rPr>
        <w:t>理规范城镇供水供电供气供暖行业收费促进行业高质量发展意见的通知》（国办函〔2020〕129 号）、《广西壮族自治区发展和改革委员会等5部门关于进一步明确电力用户外部配套供电工程建设有关事项的通知》（桂发改电力〔2024〕37号）实施业扩延伸。</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eastAsia="宋体" w:hAnsi="宋体" w:cs="宋体" w:hint="eastAsia"/>
          <w:color w:val="auto"/>
          <w:sz w:val="24"/>
          <w:highlight w:val="none"/>
          <w:lang w:val="en-US" w:eastAsia="zh-CN"/>
        </w:rPr>
      </w:pPr>
      <w:r>
        <w:rPr>
          <w:rFonts w:ascii="宋体" w:eastAsia="宋体" w:hAnsi="宋体" w:cs="宋体" w:hint="eastAsia"/>
          <w:color w:val="auto"/>
          <w:sz w:val="24"/>
          <w:highlight w:val="none"/>
          <w:lang w:val="en-US" w:eastAsia="zh-CN"/>
        </w:rPr>
        <w:t>2.对于申请高可靠性供电的用户，高可靠性供电费用收费根据《广西壮族自治区发展和改革委员会关于进一步调整高可靠性供电费用标准有关事项的通知》（桂发改价格〔2023〕724 号）要求执行。若自治区出台新的收费文件，则按新的收费文件执行。</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eastAsia="宋体" w:hAnsi="宋体" w:cs="宋体" w:hint="eastAsia"/>
          <w:color w:val="auto"/>
          <w:sz w:val="18"/>
          <w:szCs w:val="18"/>
          <w:highlight w:val="yellow"/>
          <w:lang w:val="en-US" w:eastAsia="zh-CN"/>
        </w:rPr>
      </w:pPr>
      <w:r>
        <w:rPr>
          <w:rFonts w:ascii="宋体" w:eastAsia="宋体" w:hAnsi="宋体" w:cs="宋体" w:hint="eastAsia"/>
          <w:color w:val="auto"/>
          <w:sz w:val="24"/>
          <w:highlight w:val="none"/>
          <w:lang w:val="en-US" w:eastAsia="zh-CN"/>
        </w:rPr>
        <w:t>3.中、高压计量装置包括计量互感器（计量用低压电流互感器、计量用组合互感器、高压计量用电压/电流互感器）、电能表、计量自动化终端（负荷管理终端、配变监测计量终端、厂站终端、低压集抄集中器、采集器）等设备原则上均由供电企业投资建设，客户负责预留接线和安装位置。为确保供电企业提供的互感器与客户定制计量柜兼容，业扩受电工程专用计量柜尺寸建议参照《南方电网公司10kV及以下业扩受电工程典型设计（2021版）》《南方电网公司客户侧电能计量装置通用设计要求》设计和生产，预留合适、便于后期维护的互感器安装空间，提前考虑母排的安装方向和长度，预留大小合适的连接孔，确保互感器一次端子与母排连接紧密且牢固。供电局出资的互感器参照《中国南方电网有限责任公司计量用互感器技术规范》生产和检定，具体尺寸见附录。成套设备中装有自备互感器时，经供电企业检验合格并加封，可以作为计费互感器。</w:t>
      </w:r>
      <w:r>
        <w:rPr>
          <w:rFonts w:ascii="宋体" w:eastAsia="宋体" w:hAnsi="宋体" w:cs="宋体" w:hint="eastAsia"/>
          <w:color w:val="auto"/>
          <w:sz w:val="18"/>
          <w:szCs w:val="18"/>
          <w:highlight w:val="none"/>
          <w:lang w:val="en-US" w:eastAsia="zh-CN"/>
        </w:rPr>
        <w:t>（“成套设备”是指开关装置及与其相关的控制、计量、保护和调节设备的组合，以及这些装置和设备相关的电气连接、附录等的总称，该类设备存在结构紧凑计量互感器不可现场拆卸或互感器控制、测量、保护、计量共用等特点。）</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eastAsia="宋体" w:hAnsi="宋体" w:cs="宋体" w:hint="eastAsia"/>
          <w:color w:val="auto"/>
          <w:sz w:val="24"/>
          <w:highlight w:val="none"/>
          <w:lang w:val="en-US" w:eastAsia="zh-CN"/>
        </w:rPr>
      </w:pPr>
      <w:r>
        <w:rPr>
          <w:rFonts w:ascii="宋体" w:eastAsia="宋体" w:hAnsi="宋体" w:cs="宋体" w:hint="eastAsia"/>
          <w:color w:val="auto"/>
          <w:sz w:val="24"/>
          <w:highlight w:val="none"/>
          <w:lang w:val="en-US" w:eastAsia="zh-CN"/>
        </w:rPr>
        <w:t>4.属房地产开发商统一建设的居住区（包含政府迁改、移民、棚户区改造集中小区）客户，供电企业答复供电方案时须明确要求客户预留表箱及计量装置安装位置、安装尺寸及后续维护空间的标准。客户委托的设计单位需在设计图纸上予以明确。统建住宅小区批量报装的低压电能表、互感器、集抄器由供电企业提供，开发商负责安装。</w:t>
      </w:r>
    </w:p>
    <w:p>
      <w:pPr>
        <w:pStyle w:val="BodyText"/>
        <w:keepNext w:val="0"/>
        <w:keepLines w:val="0"/>
        <w:pageBreakBefore w:val="0"/>
        <w:widowControl w:val="0"/>
        <w:kinsoku/>
        <w:wordWrap/>
        <w:overflowPunct/>
        <w:topLinePunct w:val="0"/>
        <w:autoSpaceDE/>
        <w:autoSpaceDN/>
        <w:bidi w:val="0"/>
        <w:adjustRightInd/>
        <w:snapToGrid/>
        <w:spacing w:after="0" w:line="360" w:lineRule="exact"/>
        <w:ind w:firstLine="420" w:firstLineChars="200"/>
        <w:textAlignment w:val="auto"/>
        <w:outlineLvl w:val="9"/>
        <w:rPr>
          <w:rFonts w:ascii="宋体" w:eastAsia="宋体" w:hAnsi="宋体" w:cs="宋体" w:hint="default"/>
          <w:color w:val="auto"/>
          <w:kern w:val="2"/>
          <w:sz w:val="24"/>
          <w:szCs w:val="24"/>
          <w:highlight w:val="none"/>
          <w:lang w:val="en-US" w:eastAsia="zh-CN" w:bidi="ar-SA"/>
        </w:rPr>
      </w:pPr>
      <w:r>
        <w:rPr>
          <w:rFonts w:ascii="宋体" w:eastAsia="宋体" w:hAnsi="宋体" w:cs="宋体" w:hint="eastAsia"/>
          <w:color w:val="auto"/>
          <w:kern w:val="2"/>
          <w:sz w:val="24"/>
          <w:szCs w:val="24"/>
          <w:highlight w:val="none"/>
          <w:lang w:val="en-US" w:eastAsia="zh-CN" w:bidi="ar-SA"/>
        </w:rPr>
        <w:t>5.根据《国家发展改革委办公厅 国家能源局综合司关于推进新型电力负荷管理系统建设的通知》（发改办运行〔2022〕471号）的要求，各地统筹开展负荷管理系统建设，10千伏（6千伏）及以上高压电力用户全部纳入负荷管理范围。新装用电的用户负荷接入应与用户受电工程同步设计、施工、验收和投运</w:t>
      </w:r>
      <w:r>
        <w:rPr>
          <w:rFonts w:ascii="宋体" w:hAnsi="宋体" w:cs="宋体" w:hint="eastAsia"/>
          <w:color w:val="auto"/>
          <w:kern w:val="2"/>
          <w:sz w:val="24"/>
          <w:szCs w:val="24"/>
          <w:highlight w:val="none"/>
          <w:lang w:val="en-US" w:eastAsia="zh-CN" w:bidi="ar-SA"/>
        </w:rPr>
        <w:t>负荷</w:t>
      </w:r>
      <w:r>
        <w:rPr>
          <w:rFonts w:ascii="宋体" w:eastAsia="宋体" w:hAnsi="宋体" w:cs="宋体" w:hint="eastAsia"/>
          <w:color w:val="auto"/>
          <w:kern w:val="2"/>
          <w:sz w:val="24"/>
          <w:szCs w:val="24"/>
          <w:highlight w:val="none"/>
          <w:lang w:val="en-US" w:eastAsia="zh-CN" w:bidi="ar-SA"/>
        </w:rPr>
        <w:t>管理系统建设。客户应按南方电网公司客户受电工程典型设计图纸（请您在提交用电报装申请时让业务人员提供典型设计图纸）设计受电工程。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ascii="黑体" w:eastAsia="黑体" w:hAnsi="黑体" w:cs="黑体" w:hint="eastAsia"/>
          <w:b/>
          <w:bCs/>
          <w:color w:val="auto"/>
          <w:sz w:val="24"/>
          <w:highlight w:val="none"/>
          <w:lang w:val="en-US" w:eastAsia="zh-CN"/>
        </w:rPr>
      </w:pPr>
      <w:r>
        <w:rPr>
          <w:rFonts w:ascii="黑体" w:eastAsia="黑体" w:hAnsi="黑体" w:cs="黑体" w:hint="eastAsia"/>
          <w:b/>
          <w:bCs/>
          <w:color w:val="auto"/>
          <w:sz w:val="24"/>
          <w:highlight w:val="none"/>
          <w:lang w:val="en-US" w:eastAsia="zh-CN"/>
        </w:rPr>
        <w:t>五、温馨提示</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color w:val="auto"/>
          <w:sz w:val="24"/>
          <w:highlight w:val="none"/>
        </w:rPr>
      </w:pPr>
      <w:r>
        <w:rPr>
          <w:rFonts w:hint="default"/>
          <w:b w:val="0"/>
          <w:bCs w:val="0"/>
          <w:color w:val="auto"/>
          <w:sz w:val="24"/>
          <w:highlight w:val="none"/>
          <w:lang w:val="en-US" w:eastAsia="zh-CN"/>
        </w:rPr>
        <w:t>（一）</w:t>
      </w:r>
      <w:r>
        <w:rPr>
          <w:rFonts w:hint="eastAsia"/>
          <w:b/>
          <w:bCs/>
          <w:color w:val="auto"/>
          <w:sz w:val="24"/>
          <w:highlight w:val="none"/>
        </w:rPr>
        <w:t>客户对自行投资建设的产权分界点负荷侧受电工程，有自主选择具备资质的设计、施工（试验）及设备供应单位的权利，</w:t>
      </w:r>
      <w:r>
        <w:rPr>
          <w:rFonts w:hint="eastAsia"/>
          <w:color w:val="auto"/>
          <w:sz w:val="24"/>
          <w:highlight w:val="none"/>
        </w:rPr>
        <w:t>相关设计、施工（试验）及设备供应单位的查询：</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color w:val="auto"/>
          <w:sz w:val="24"/>
          <w:highlight w:val="none"/>
        </w:rPr>
      </w:pPr>
      <w:r>
        <w:rPr>
          <w:rFonts w:hint="eastAsia"/>
          <w:color w:val="auto"/>
          <w:sz w:val="24"/>
          <w:highlight w:val="none"/>
        </w:rPr>
        <w:t>1.电力工程勘察设计企业名单可</w:t>
      </w:r>
      <w:r>
        <w:rPr>
          <w:rFonts w:hint="eastAsia"/>
          <w:color w:val="auto"/>
          <w:sz w:val="24"/>
          <w:highlight w:val="none"/>
          <w:lang w:val="en-US" w:eastAsia="zh-CN"/>
        </w:rPr>
        <w:t>登录</w:t>
      </w:r>
      <w:r>
        <w:rPr>
          <w:rFonts w:hint="eastAsia"/>
          <w:color w:val="auto"/>
          <w:sz w:val="24"/>
          <w:highlight w:val="none"/>
        </w:rPr>
        <w:t>中华人民共和国住房和城乡建设部网站www.mohurd.gov.cn查询。其中，广西区内电力工程勘察设计企业名单可</w:t>
      </w:r>
      <w:r>
        <w:rPr>
          <w:rFonts w:hint="eastAsia"/>
          <w:color w:val="auto"/>
          <w:sz w:val="24"/>
          <w:highlight w:val="none"/>
          <w:lang w:val="en-US" w:eastAsia="zh-CN"/>
        </w:rPr>
        <w:t>登录</w:t>
      </w:r>
      <w:r>
        <w:rPr>
          <w:rFonts w:hint="eastAsia"/>
          <w:color w:val="auto"/>
          <w:sz w:val="24"/>
          <w:highlight w:val="none"/>
        </w:rPr>
        <w:t>广西壮族自治区住房和城乡建设厅网站</w:t>
      </w:r>
      <w:r>
        <w:rPr>
          <w:rFonts w:hint="eastAsia"/>
          <w:color w:val="auto"/>
          <w:sz w:val="24"/>
          <w:highlight w:val="none"/>
          <w:lang w:eastAsia="zh-CN"/>
        </w:rPr>
        <w:t>zjt.gxzf.gov.cn</w:t>
      </w:r>
      <w:r>
        <w:rPr>
          <w:rFonts w:hint="eastAsia"/>
          <w:color w:val="auto"/>
          <w:sz w:val="24"/>
          <w:highlight w:val="none"/>
        </w:rPr>
        <w:t>网站查询。</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color w:val="auto"/>
          <w:sz w:val="24"/>
          <w:highlight w:val="none"/>
        </w:rPr>
      </w:pPr>
      <w:r>
        <w:rPr>
          <w:rFonts w:hint="eastAsia"/>
          <w:color w:val="auto"/>
          <w:sz w:val="24"/>
          <w:highlight w:val="none"/>
        </w:rPr>
        <w:t>2.根据《承装（修、试）电力设施许可证管理办法》（中华人民共和国国家发展和改革委员会令 第36号）规定，凡从事承装（修、试）电力设施业务的企业，必须持有国家能源局或其派出机构颁发的承装（修、试）电力设施许可证。承装（修、试）企业名单可</w:t>
      </w:r>
      <w:r>
        <w:rPr>
          <w:rFonts w:hint="eastAsia"/>
          <w:color w:val="auto"/>
          <w:sz w:val="24"/>
          <w:highlight w:val="none"/>
          <w:lang w:val="en-US" w:eastAsia="zh-CN"/>
        </w:rPr>
        <w:t>登录</w:t>
      </w:r>
      <w:r>
        <w:rPr>
          <w:rFonts w:hint="eastAsia"/>
          <w:color w:val="auto"/>
          <w:sz w:val="24"/>
          <w:highlight w:val="none"/>
        </w:rPr>
        <w:t>国家能源局网站http://www.nea.gov.cn查询，其中由国家能源局南方监管局颁发许可证的承装（修、试）企业名单可</w:t>
      </w:r>
      <w:r>
        <w:rPr>
          <w:rFonts w:hint="eastAsia"/>
          <w:color w:val="auto"/>
          <w:sz w:val="24"/>
          <w:highlight w:val="none"/>
          <w:lang w:val="en-US" w:eastAsia="zh-CN"/>
        </w:rPr>
        <w:t>登录</w:t>
      </w:r>
      <w:r>
        <w:rPr>
          <w:rFonts w:hint="eastAsia"/>
          <w:color w:val="auto"/>
          <w:sz w:val="24"/>
          <w:highlight w:val="none"/>
        </w:rPr>
        <w:t>网站http://nfj.nea.gov.cn查询。</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color w:val="auto"/>
          <w:sz w:val="24"/>
          <w:highlight w:val="none"/>
        </w:rPr>
      </w:pPr>
      <w:r>
        <w:rPr>
          <w:rFonts w:hint="eastAsia"/>
          <w:color w:val="auto"/>
          <w:sz w:val="24"/>
          <w:highlight w:val="none"/>
        </w:rPr>
        <w:t>3.通过国家3C认证的设备材料供应单位，以国家质检总局网站</w:t>
      </w:r>
      <w:r>
        <w:rPr>
          <w:rFonts w:hint="eastAsia"/>
          <w:color w:val="auto"/>
          <w:sz w:val="24"/>
          <w:highlight w:val="none"/>
          <w:lang w:eastAsia="zh-CN"/>
        </w:rPr>
        <w:t>www.samr.gov.cn</w:t>
      </w:r>
      <w:r>
        <w:rPr>
          <w:rFonts w:hint="eastAsia"/>
          <w:color w:val="auto"/>
          <w:sz w:val="24"/>
          <w:highlight w:val="none"/>
        </w:rPr>
        <w:t>公布的信息为准。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b w:val="0"/>
          <w:bCs w:val="0"/>
          <w:color w:val="auto"/>
          <w:sz w:val="24"/>
          <w:highlight w:val="none"/>
          <w:lang w:val="en-US" w:eastAsia="zh-CN"/>
        </w:rPr>
      </w:pPr>
      <w:r>
        <w:rPr>
          <w:rFonts w:hint="default"/>
          <w:b w:val="0"/>
          <w:bCs w:val="0"/>
          <w:color w:val="auto"/>
          <w:sz w:val="24"/>
          <w:highlight w:val="none"/>
          <w:lang w:val="en-US" w:eastAsia="zh-CN"/>
        </w:rPr>
        <w:t>（</w:t>
      </w:r>
      <w:r>
        <w:rPr>
          <w:rFonts w:hint="eastAsia"/>
          <w:b w:val="0"/>
          <w:bCs w:val="0"/>
          <w:color w:val="auto"/>
          <w:sz w:val="24"/>
          <w:highlight w:val="none"/>
          <w:lang w:val="en-US" w:eastAsia="zh-CN"/>
        </w:rPr>
        <w:t>二</w:t>
      </w:r>
      <w:r>
        <w:rPr>
          <w:rFonts w:hint="default"/>
          <w:b w:val="0"/>
          <w:bCs w:val="0"/>
          <w:color w:val="auto"/>
          <w:sz w:val="24"/>
          <w:highlight w:val="none"/>
          <w:lang w:val="en-US" w:eastAsia="zh-CN"/>
        </w:rPr>
        <w:t>）</w:t>
      </w:r>
      <w:r>
        <w:rPr>
          <w:rFonts w:ascii="宋体" w:eastAsia="宋体" w:hAnsi="宋体" w:cs="宋体"/>
          <w:color w:val="auto"/>
          <w:sz w:val="24"/>
          <w:szCs w:val="24"/>
        </w:rPr>
        <w:t>在报装</w:t>
      </w:r>
      <w:r>
        <w:rPr>
          <w:rFonts w:ascii="宋体" w:eastAsia="宋体" w:hAnsi="宋体" w:cs="宋体" w:hint="eastAsia"/>
          <w:color w:val="auto"/>
          <w:sz w:val="24"/>
          <w:szCs w:val="24"/>
          <w:lang w:eastAsia="zh-CN"/>
        </w:rPr>
        <w:t>全</w:t>
      </w:r>
      <w:r>
        <w:rPr>
          <w:rFonts w:ascii="宋体" w:eastAsia="宋体" w:hAnsi="宋体" w:cs="宋体"/>
          <w:color w:val="auto"/>
          <w:sz w:val="24"/>
          <w:szCs w:val="24"/>
        </w:rPr>
        <w:t>程，供电企业不会向客户收取物价部门规定之外的费用。</w:t>
      </w:r>
      <w:r>
        <w:rPr>
          <w:rFonts w:hint="default"/>
          <w:b w:val="0"/>
          <w:bCs w:val="0"/>
          <w:color w:val="auto"/>
          <w:sz w:val="24"/>
          <w:highlight w:val="none"/>
          <w:lang w:val="en-US" w:eastAsia="zh-CN"/>
        </w:rPr>
        <w:t>请您对我们的工作进行监督，若您在办理业务过程中有疑问，可致电95598供电服务热线咨询。若您的问题未得到解决，请再次致电95598提级督办或致电12398能源监管热线。</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olor w:val="auto"/>
          <w:sz w:val="24"/>
          <w:highlight w:val="none"/>
        </w:rPr>
      </w:pPr>
      <w:r>
        <w:rPr>
          <w:rFonts w:hint="eastAsia"/>
          <w:color w:val="auto"/>
          <w:sz w:val="24"/>
          <w:highlight w:val="none"/>
          <w:lang w:eastAsia="zh-CN"/>
        </w:rPr>
        <w:t>（三）</w:t>
      </w:r>
      <w:r>
        <w:rPr>
          <w:rFonts w:hint="eastAsia"/>
          <w:color w:val="auto"/>
          <w:sz w:val="24"/>
          <w:highlight w:val="none"/>
        </w:rPr>
        <w:t>下载“南网在线”APP、关注“</w:t>
      </w:r>
      <w:r>
        <w:rPr>
          <w:rFonts w:hint="eastAsia"/>
          <w:color w:val="auto"/>
          <w:sz w:val="24"/>
          <w:highlight w:val="none"/>
          <w:lang w:eastAsia="zh-CN"/>
        </w:rPr>
        <w:t>南网在线</w:t>
      </w:r>
      <w:r>
        <w:rPr>
          <w:rFonts w:hint="eastAsia"/>
          <w:color w:val="auto"/>
          <w:sz w:val="24"/>
          <w:highlight w:val="none"/>
        </w:rPr>
        <w:t>”微信服务号</w:t>
      </w:r>
      <w:r>
        <w:rPr>
          <w:rFonts w:hint="eastAsia"/>
          <w:color w:val="auto"/>
          <w:sz w:val="24"/>
          <w:highlight w:val="none"/>
          <w:lang w:eastAsia="zh-CN"/>
        </w:rPr>
        <w:t>、</w:t>
      </w:r>
      <w:r>
        <w:rPr>
          <w:rFonts w:hint="eastAsia"/>
          <w:color w:val="auto"/>
          <w:sz w:val="24"/>
          <w:highlight w:val="none"/>
        </w:rPr>
        <w:t>“</w:t>
      </w:r>
      <w:r>
        <w:rPr>
          <w:rFonts w:hint="eastAsia"/>
          <w:color w:val="auto"/>
          <w:sz w:val="24"/>
          <w:highlight w:val="none"/>
          <w:lang w:eastAsia="zh-CN"/>
        </w:rPr>
        <w:t>南网在线</w:t>
      </w:r>
      <w:r>
        <w:rPr>
          <w:rFonts w:hint="eastAsia"/>
          <w:color w:val="auto"/>
          <w:sz w:val="24"/>
          <w:highlight w:val="none"/>
        </w:rPr>
        <w:t>”</w:t>
      </w:r>
      <w:r>
        <w:rPr>
          <w:rFonts w:hint="eastAsia"/>
          <w:color w:val="auto"/>
          <w:sz w:val="24"/>
          <w:highlight w:val="none"/>
          <w:lang w:val="en-US" w:eastAsia="zh-CN"/>
        </w:rPr>
        <w:t>支付宝生活号</w:t>
      </w:r>
      <w:r>
        <w:rPr>
          <w:rFonts w:hint="eastAsia"/>
          <w:color w:val="auto"/>
          <w:sz w:val="24"/>
          <w:highlight w:val="none"/>
        </w:rPr>
        <w:t>或登录“</w:t>
      </w:r>
      <w:r>
        <w:rPr>
          <w:rFonts w:hint="eastAsia"/>
          <w:color w:val="auto"/>
          <w:sz w:val="24"/>
          <w:highlight w:val="none"/>
          <w:lang w:eastAsia="zh-CN"/>
        </w:rPr>
        <w:t>南网在线</w:t>
      </w:r>
      <w:r>
        <w:rPr>
          <w:rFonts w:hint="eastAsia"/>
          <w:color w:val="auto"/>
          <w:sz w:val="24"/>
          <w:highlight w:val="none"/>
        </w:rPr>
        <w:t>”</w:t>
      </w:r>
      <w:r>
        <w:rPr>
          <w:rFonts w:hint="eastAsia"/>
          <w:color w:val="auto"/>
          <w:sz w:val="24"/>
          <w:highlight w:val="none"/>
          <w:lang w:val="en-US" w:eastAsia="zh-CN"/>
        </w:rPr>
        <w:t>网页版（</w:t>
      </w:r>
      <w:r>
        <w:rPr>
          <w:rFonts w:hint="eastAsia"/>
          <w:color w:val="auto"/>
          <w:sz w:val="24"/>
          <w:highlight w:val="none"/>
        </w:rPr>
        <w:t>https://95598.csg.cn/</w:t>
      </w:r>
      <w:r>
        <w:rPr>
          <w:rFonts w:hint="eastAsia"/>
          <w:color w:val="auto"/>
          <w:sz w:val="24"/>
          <w:highlight w:val="none"/>
          <w:lang w:eastAsia="zh-CN"/>
        </w:rPr>
        <w:t>）</w:t>
      </w:r>
      <w:r>
        <w:rPr>
          <w:rFonts w:hint="eastAsia"/>
          <w:color w:val="auto"/>
          <w:sz w:val="24"/>
          <w:highlight w:val="none"/>
        </w:rPr>
        <w:t>成为注册用户，可随时随地办理用电业务、获取电力资讯。</w:t>
      </w:r>
    </w:p>
    <w:p>
      <w:pPr>
        <w:spacing w:line="380" w:lineRule="exact"/>
        <w:ind w:firstLine="420" w:firstLineChars="200"/>
        <w:rPr>
          <w:rFonts w:hint="eastAsia"/>
          <w:color w:val="auto"/>
          <w:sz w:val="24"/>
          <w:highlight w:val="none"/>
        </w:rPr>
      </w:pPr>
    </w:p>
    <w:p>
      <w:pPr>
        <w:spacing w:line="400" w:lineRule="exact"/>
        <w:rPr>
          <w:rFonts w:hint="eastAsia"/>
          <w:color w:val="auto"/>
          <w:sz w:val="24"/>
          <w:highlight w:val="none"/>
          <w:lang w:eastAsia="zh-CN"/>
        </w:rPr>
      </w:pPr>
      <w:r>
        <w:rPr>
          <w:rFonts w:hint="eastAsia"/>
          <w:color w:val="auto"/>
          <w:sz w:val="24"/>
          <w:highlight w:val="none"/>
        </w:rPr>
        <w:drawing>
          <wp:anchor distT="0" distB="0" distL="114300" distR="114300" simplePos="0" relativeHeight="251659264" behindDoc="0" locked="0" layoutInCell="1" allowOverlap="1">
            <wp:simplePos x="0" y="0"/>
            <wp:positionH relativeFrom="column">
              <wp:posOffset>2990215</wp:posOffset>
            </wp:positionH>
            <wp:positionV relativeFrom="paragraph">
              <wp:posOffset>347980</wp:posOffset>
            </wp:positionV>
            <wp:extent cx="1438910" cy="1341120"/>
            <wp:effectExtent l="0" t="0" r="8890" b="11430"/>
            <wp:wrapSquare wrapText="bothSides"/>
            <wp:docPr id="1" name="图片 1" descr="860x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60x860"/>
                    <pic:cNvPicPr>
                      <a:picLocks noChangeAspect="1"/>
                    </pic:cNvPicPr>
                  </pic:nvPicPr>
                  <pic:blipFill>
                    <a:blip xmlns:r="http://schemas.openxmlformats.org/officeDocument/2006/relationships" r:embed="rId4" cstate="print"/>
                    <a:stretch>
                      <a:fillRect/>
                    </a:stretch>
                  </pic:blipFill>
                  <pic:spPr>
                    <a:xfrm>
                      <a:off x="0" y="0"/>
                      <a:ext cx="1438910" cy="1341120"/>
                    </a:xfrm>
                    <a:prstGeom prst="rect">
                      <a:avLst/>
                    </a:prstGeom>
                  </pic:spPr>
                </pic:pic>
              </a:graphicData>
            </a:graphic>
          </wp:anchor>
        </w:drawing>
      </w:r>
      <w:r>
        <w:rPr>
          <w:rFonts w:hint="eastAsia"/>
          <w:color w:val="auto"/>
          <w:sz w:val="24"/>
          <w:highlight w:val="none"/>
        </w:rPr>
        <w:drawing>
          <wp:anchor distT="0" distB="0" distL="114300" distR="114300" simplePos="0" relativeHeight="251658240" behindDoc="1" locked="0" layoutInCell="1" allowOverlap="1">
            <wp:simplePos x="0" y="0"/>
            <wp:positionH relativeFrom="column">
              <wp:posOffset>614045</wp:posOffset>
            </wp:positionH>
            <wp:positionV relativeFrom="paragraph">
              <wp:posOffset>321945</wp:posOffset>
            </wp:positionV>
            <wp:extent cx="1428750" cy="1428750"/>
            <wp:effectExtent l="0" t="0" r="0" b="0"/>
            <wp:wrapTight wrapText="bothSides">
              <wp:wrapPolygon>
                <wp:start x="0" y="0"/>
                <wp:lineTo x="0" y="21312"/>
                <wp:lineTo x="21312" y="21312"/>
                <wp:lineTo x="21312" y="0"/>
                <wp:lineTo x="0" y="0"/>
              </wp:wrapPolygon>
            </wp:wrapTight>
            <wp:docPr id="2" name="图片 2" descr="6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503"/>
                    <pic:cNvPicPr>
                      <a:picLocks noChangeAspect="1"/>
                    </pic:cNvPicPr>
                  </pic:nvPicPr>
                  <pic:blipFill>
                    <a:blip xmlns:r="http://schemas.openxmlformats.org/officeDocument/2006/relationships" r:embed="rId5"/>
                    <a:stretch>
                      <a:fillRect/>
                    </a:stretch>
                  </pic:blipFill>
                  <pic:spPr>
                    <a:xfrm>
                      <a:off x="0" y="0"/>
                      <a:ext cx="1428750" cy="1428750"/>
                    </a:xfrm>
                    <a:prstGeom prst="rect">
                      <a:avLst/>
                    </a:prstGeom>
                  </pic:spPr>
                </pic:pic>
              </a:graphicData>
            </a:graphic>
          </wp:anchor>
        </w:drawing>
      </w:r>
    </w:p>
    <w:p>
      <w:pPr>
        <w:spacing w:line="260" w:lineRule="exact"/>
        <w:ind w:firstLine="630" w:firstLineChars="300"/>
        <w:rPr>
          <w:rFonts w:ascii="方正大黑简体" w:eastAsia="方正大黑简体" w:hAnsi="方正大黑简体" w:cs="方正大黑简体"/>
          <w:color w:val="auto"/>
          <w:sz w:val="44"/>
          <w:szCs w:val="44"/>
          <w:highlight w:val="none"/>
        </w:rPr>
      </w:pPr>
      <w:r>
        <w:rPr>
          <w:rFonts w:hint="eastAsia"/>
          <w:color w:val="auto"/>
          <w:sz w:val="24"/>
          <w:highlight w:val="none"/>
          <w:lang w:eastAsia="zh-CN"/>
        </w:rPr>
        <w:t>“</w:t>
      </w:r>
      <w:r>
        <w:rPr>
          <w:rFonts w:hint="eastAsia"/>
          <w:color w:val="auto"/>
          <w:sz w:val="24"/>
          <w:highlight w:val="none"/>
        </w:rPr>
        <w:t>南网在线</w:t>
      </w:r>
      <w:r>
        <w:rPr>
          <w:rFonts w:hint="eastAsia"/>
          <w:color w:val="auto"/>
          <w:sz w:val="24"/>
          <w:highlight w:val="none"/>
          <w:lang w:eastAsia="zh-CN"/>
        </w:rPr>
        <w:t>”微信服务号</w:t>
      </w:r>
      <w:r>
        <w:rPr>
          <w:rFonts w:hint="eastAsia"/>
          <w:color w:val="auto"/>
          <w:sz w:val="24"/>
          <w:highlight w:val="none"/>
        </w:rPr>
        <w:t xml:space="preserve">二维码     </w:t>
      </w:r>
      <w:r>
        <w:rPr>
          <w:rFonts w:hint="eastAsia"/>
          <w:color w:val="auto"/>
          <w:sz w:val="24"/>
          <w:highlight w:val="none"/>
          <w:lang w:val="en-US" w:eastAsia="zh-CN"/>
        </w:rPr>
        <w:t>“</w:t>
      </w:r>
      <w:r>
        <w:rPr>
          <w:rFonts w:hint="eastAsia"/>
          <w:color w:val="auto"/>
          <w:sz w:val="24"/>
          <w:highlight w:val="none"/>
        </w:rPr>
        <w:t>南网在线</w:t>
      </w:r>
      <w:r>
        <w:rPr>
          <w:rFonts w:hint="eastAsia"/>
          <w:color w:val="auto"/>
          <w:sz w:val="24"/>
          <w:highlight w:val="none"/>
          <w:lang w:eastAsia="zh-CN"/>
        </w:rPr>
        <w:t>”</w:t>
      </w:r>
      <w:r>
        <w:rPr>
          <w:rFonts w:hint="eastAsia"/>
          <w:color w:val="auto"/>
          <w:sz w:val="24"/>
          <w:highlight w:val="none"/>
        </w:rPr>
        <w:t>APP二维码</w:t>
      </w:r>
    </w:p>
    <w:p>
      <w:pPr>
        <w:jc w:val="left"/>
        <w:rPr>
          <w:rFonts w:ascii="黑体" w:eastAsia="黑体" w:hAnsi="黑体" w:cs="黑体" w:hint="eastAsia"/>
          <w:color w:val="auto"/>
          <w:sz w:val="32"/>
          <w:szCs w:val="32"/>
          <w:highlight w:val="none"/>
        </w:rPr>
      </w:pPr>
      <w:r>
        <w:rPr>
          <w:rFonts w:ascii="黑体" w:eastAsia="黑体" w:hAnsi="黑体" w:cs="黑体" w:hint="eastAsia"/>
          <w:color w:val="auto"/>
          <w:sz w:val="32"/>
          <w:szCs w:val="32"/>
          <w:highlight w:val="none"/>
          <w:lang w:val="en-US" w:eastAsia="zh-CN"/>
        </w:rPr>
        <w:t xml:space="preserve">      </w:t>
      </w:r>
      <w:r>
        <w:rPr>
          <w:rFonts w:ascii="黑体" w:eastAsia="黑体" w:hAnsi="黑体" w:cs="黑体" w:hint="eastAsia"/>
          <w:color w:val="auto"/>
          <w:sz w:val="32"/>
          <w:szCs w:val="32"/>
          <w:highlight w:val="none"/>
          <w:lang w:eastAsia="zh-CN"/>
        </w:rPr>
        <w:drawing>
          <wp:inline distT="0" distB="0" distL="114300" distR="114300">
            <wp:extent cx="1447800" cy="1437640"/>
            <wp:effectExtent l="0" t="0" r="0" b="10160"/>
            <wp:docPr id="5" name="图片 5" descr="企业微信截图_167814829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企业微信截图_1678148295226"/>
                    <pic:cNvPicPr>
                      <a:picLocks noChangeAspect="1"/>
                    </pic:cNvPicPr>
                  </pic:nvPicPr>
                  <pic:blipFill>
                    <a:blip xmlns:r="http://schemas.openxmlformats.org/officeDocument/2006/relationships" r:embed="rId6"/>
                    <a:stretch>
                      <a:fillRect/>
                    </a:stretch>
                  </pic:blipFill>
                  <pic:spPr>
                    <a:xfrm>
                      <a:off x="0" y="0"/>
                      <a:ext cx="1447800" cy="1437640"/>
                    </a:xfrm>
                    <a:prstGeom prst="rect">
                      <a:avLst/>
                    </a:prstGeom>
                  </pic:spPr>
                </pic:pic>
              </a:graphicData>
            </a:graphic>
          </wp:inline>
        </w:drawing>
      </w:r>
      <w:r>
        <w:rPr>
          <w:rFonts w:ascii="黑体" w:eastAsia="黑体" w:hAnsi="黑体" w:cs="黑体" w:hint="eastAsia"/>
          <w:color w:val="auto"/>
          <w:sz w:val="32"/>
          <w:szCs w:val="32"/>
          <w:highlight w:val="none"/>
          <w:lang w:val="en-US" w:eastAsia="zh-CN"/>
        </w:rPr>
        <w:t xml:space="preserve">         </w:t>
      </w:r>
      <w:r>
        <w:rPr>
          <w:rFonts w:ascii="黑体" w:eastAsia="黑体" w:hAnsi="黑体" w:cs="黑体" w:hint="eastAsia"/>
          <w:color w:val="auto"/>
          <w:sz w:val="32"/>
          <w:szCs w:val="32"/>
          <w:highlight w:val="none"/>
        </w:rPr>
        <w:drawing>
          <wp:inline distT="0" distB="0" distL="114300" distR="114300">
            <wp:extent cx="1485900" cy="1376680"/>
            <wp:effectExtent l="0" t="0" r="0" b="13970"/>
            <wp:docPr id="6" name="图片 6" descr="企业微信截图_167814832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企业微信截图_1678148320717"/>
                    <pic:cNvPicPr>
                      <a:picLocks noChangeAspect="1"/>
                    </pic:cNvPicPr>
                  </pic:nvPicPr>
                  <pic:blipFill>
                    <a:blip xmlns:r="http://schemas.openxmlformats.org/officeDocument/2006/relationships" r:embed="rId7"/>
                    <a:stretch>
                      <a:fillRect/>
                    </a:stretch>
                  </pic:blipFill>
                  <pic:spPr>
                    <a:xfrm>
                      <a:off x="0" y="0"/>
                      <a:ext cx="1485900" cy="1376680"/>
                    </a:xfrm>
                    <a:prstGeom prst="rect">
                      <a:avLst/>
                    </a:prstGeom>
                  </pic:spPr>
                </pic:pic>
              </a:graphicData>
            </a:graphic>
          </wp:inline>
        </w:drawing>
      </w:r>
    </w:p>
    <w:p>
      <w:pPr>
        <w:keepNext w:val="0"/>
        <w:keepLines w:val="0"/>
        <w:widowControl/>
        <w:suppressLineNumbers w:val="0"/>
        <w:spacing w:line="260" w:lineRule="exact"/>
        <w:ind w:firstLine="840" w:firstLineChars="400"/>
        <w:jc w:val="both"/>
        <w:rPr>
          <w:rFonts w:hint="eastAsia"/>
          <w:b w:val="0"/>
          <w:color w:val="auto"/>
          <w:sz w:val="24"/>
          <w:szCs w:val="24"/>
          <w:highlight w:val="none"/>
        </w:rPr>
      </w:pPr>
      <w:r>
        <w:rPr>
          <w:rFonts w:hint="eastAsia"/>
          <w:b w:val="0"/>
          <w:color w:val="auto"/>
          <w:kern w:val="0"/>
          <w:sz w:val="24"/>
          <w:szCs w:val="24"/>
          <w:highlight w:val="none"/>
          <w:lang w:bidi="ar"/>
        </w:rPr>
        <w:t>12398 公众号二维码</w:t>
      </w:r>
      <w:r>
        <w:rPr>
          <w:rFonts w:hint="eastAsia"/>
          <w:b w:val="0"/>
          <w:color w:val="auto"/>
          <w:kern w:val="0"/>
          <w:sz w:val="24"/>
          <w:szCs w:val="24"/>
          <w:highlight w:val="none"/>
          <w:lang w:val="en-US" w:eastAsia="zh-CN" w:bidi="ar"/>
        </w:rPr>
        <w:t xml:space="preserve">           </w:t>
      </w:r>
      <w:r>
        <w:rPr>
          <w:rFonts w:hint="eastAsia"/>
          <w:b w:val="0"/>
          <w:color w:val="auto"/>
          <w:sz w:val="24"/>
          <w:szCs w:val="24"/>
          <w:highlight w:val="none"/>
        </w:rPr>
        <w:t xml:space="preserve">12398 </w:t>
      </w:r>
      <w:r>
        <w:rPr>
          <w:rFonts w:hint="eastAsia"/>
          <w:color w:val="auto"/>
          <w:sz w:val="24"/>
          <w:highlight w:val="none"/>
        </w:rPr>
        <w:t>APP</w:t>
      </w:r>
      <w:r>
        <w:rPr>
          <w:rFonts w:hint="eastAsia"/>
          <w:b w:val="0"/>
          <w:color w:val="auto"/>
          <w:sz w:val="24"/>
          <w:szCs w:val="24"/>
          <w:highlight w:val="none"/>
        </w:rPr>
        <w:t>（安卓版）二维码</w:t>
      </w:r>
    </w:p>
    <w:p>
      <w:pPr>
        <w:pStyle w:val="BodyText"/>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lang w:val="en-US" w:eastAsia="zh-CN"/>
        </w:rPr>
      </w:pPr>
      <w:r>
        <w:rPr>
          <w:rFonts w:ascii="Arial" w:hAnsi="Arial" w:cs="Arial" w:hint="default"/>
          <w:lang w:val="en-US" w:eastAsia="zh-CN"/>
        </w:rPr>
        <w:t>………………………………………………………………………………………………………</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宋体" w:eastAsia="宋体" w:hAnsi="宋体" w:cs="宋体" w:hint="eastAsia"/>
          <w:b/>
          <w:bCs/>
          <w:sz w:val="28"/>
          <w:szCs w:val="28"/>
          <w:lang w:eastAsia="zh-CN"/>
        </w:rPr>
      </w:pPr>
      <w:r>
        <w:rPr>
          <w:rFonts w:ascii="宋体" w:eastAsia="宋体" w:hAnsi="宋体" w:cs="宋体"/>
          <w:b/>
          <w:bCs/>
          <w:sz w:val="28"/>
          <w:szCs w:val="28"/>
        </w:rPr>
        <w:t>本人已知悉</w:t>
      </w:r>
      <w:r>
        <w:rPr>
          <w:rFonts w:ascii="宋体" w:eastAsia="宋体" w:hAnsi="宋体" w:cs="宋体" w:hint="eastAsia"/>
          <w:b/>
          <w:bCs/>
          <w:sz w:val="28"/>
          <w:szCs w:val="28"/>
          <w:lang w:eastAsia="zh-CN"/>
        </w:rPr>
        <w:t>高</w:t>
      </w:r>
      <w:r>
        <w:rPr>
          <w:rFonts w:ascii="宋体" w:eastAsia="宋体" w:hAnsi="宋体" w:cs="宋体" w:hint="eastAsia"/>
          <w:b/>
          <w:bCs/>
          <w:sz w:val="28"/>
          <w:szCs w:val="28"/>
        </w:rPr>
        <w:t>压电动汽车充电桩用电报装业务告知书</w:t>
      </w:r>
      <w:r>
        <w:rPr>
          <w:rFonts w:ascii="宋体" w:eastAsia="宋体" w:hAnsi="宋体" w:cs="宋体" w:hint="eastAsia"/>
          <w:b/>
          <w:bCs/>
          <w:sz w:val="28"/>
          <w:szCs w:val="28"/>
          <w:lang w:eastAsia="zh-CN"/>
        </w:rPr>
        <w:t>所述</w:t>
      </w:r>
      <w:r>
        <w:rPr>
          <w:rFonts w:ascii="宋体" w:eastAsia="宋体" w:hAnsi="宋体" w:cs="宋体"/>
          <w:b/>
          <w:bCs/>
          <w:sz w:val="28"/>
          <w:szCs w:val="28"/>
        </w:rPr>
        <w:t>内容</w:t>
      </w:r>
      <w:r>
        <w:rPr>
          <w:rFonts w:ascii="宋体" w:eastAsia="宋体" w:hAnsi="宋体" w:cs="宋体" w:hint="eastAsia"/>
          <w:b/>
          <w:bCs/>
          <w:sz w:val="28"/>
          <w:szCs w:val="28"/>
          <w:lang w:eastAsia="zh-CN"/>
        </w:rPr>
        <w:t>。</w:t>
      </w:r>
    </w:p>
    <w:p>
      <w:pPr>
        <w:keepNext w:val="0"/>
        <w:keepLines w:val="0"/>
        <w:pageBreakBefore w:val="0"/>
        <w:widowControl w:val="0"/>
        <w:kinsoku/>
        <w:wordWrap/>
        <w:overflowPunct/>
        <w:topLinePunct w:val="0"/>
        <w:autoSpaceDE/>
        <w:autoSpaceDN/>
        <w:bidi w:val="0"/>
        <w:adjustRightInd/>
        <w:snapToGrid/>
        <w:spacing w:line="700" w:lineRule="exact"/>
        <w:ind w:firstLine="2100" w:firstLineChars="1000"/>
        <w:jc w:val="both"/>
        <w:textAlignment w:val="auto"/>
        <w:rPr>
          <w:rFonts w:ascii="宋体" w:eastAsia="宋体" w:hAnsi="宋体" w:cs="宋体" w:hint="eastAsia"/>
          <w:sz w:val="28"/>
          <w:szCs w:val="28"/>
          <w:u w:val="single"/>
          <w:lang w:val="en-US" w:eastAsia="zh-CN"/>
        </w:rPr>
      </w:pPr>
      <w:r>
        <w:rPr>
          <w:rFonts w:ascii="宋体" w:eastAsia="宋体" w:hAnsi="宋体" w:cs="宋体" w:hint="eastAsia"/>
          <w:b/>
          <w:bCs/>
          <w:sz w:val="28"/>
          <w:szCs w:val="28"/>
          <w:lang w:val="en-US" w:eastAsia="zh-CN"/>
        </w:rPr>
        <w:t>签名：</w:t>
      </w:r>
      <w:r>
        <w:rPr>
          <w:rFonts w:ascii="宋体" w:eastAsia="宋体" w:hAnsi="宋体" w:cs="宋体" w:hint="eastAsia"/>
          <w:b/>
          <w:bCs/>
          <w:sz w:val="28"/>
          <w:szCs w:val="28"/>
          <w:u w:val="single"/>
          <w:lang w:val="en-US" w:eastAsia="zh-CN"/>
        </w:rPr>
        <w:t xml:space="preserve"> </w:t>
      </w:r>
      <w:r>
        <w:rPr>
          <w:rFonts w:ascii="宋体" w:eastAsia="宋体" w:hAnsi="宋体" w:cs="宋体" w:hint="eastAsia"/>
          <w:sz w:val="28"/>
          <w:szCs w:val="28"/>
          <w:u w:val="single"/>
          <w:lang w:val="en-US" w:eastAsia="zh-CN"/>
        </w:rPr>
        <w:t xml:space="preserve">             </w:t>
      </w:r>
      <w:r>
        <w:rPr>
          <w:rFonts w:ascii="宋体" w:eastAsia="宋体" w:hAnsi="宋体" w:cs="宋体" w:hint="eastAsia"/>
          <w:b/>
          <w:bCs/>
          <w:sz w:val="28"/>
          <w:szCs w:val="28"/>
          <w:u w:val="none"/>
          <w:lang w:val="en-US" w:eastAsia="zh-CN"/>
        </w:rPr>
        <w:t>日期：</w:t>
      </w:r>
      <w:r>
        <w:rPr>
          <w:rFonts w:ascii="宋体" w:eastAsia="宋体" w:hAnsi="宋体" w:cs="宋体" w:hint="eastAsia"/>
          <w:sz w:val="28"/>
          <w:szCs w:val="28"/>
          <w:u w:val="single"/>
          <w:lang w:val="en-US" w:eastAsia="zh-CN"/>
        </w:rPr>
        <w:t xml:space="preserve">             </w:t>
      </w:r>
    </w:p>
    <w:p>
      <w:pPr>
        <w:jc w:val="center"/>
        <w:rPr>
          <w:rFonts w:ascii="方正大黑简体" w:eastAsia="方正大黑简体" w:hAnsi="方正大黑简体" w:cs="方正大黑简体" w:hint="eastAsia"/>
          <w:color w:val="auto"/>
          <w:sz w:val="44"/>
          <w:szCs w:val="44"/>
          <w:highlight w:val="none"/>
          <w:lang w:eastAsia="zh-CN"/>
        </w:rPr>
        <w:sectPr>
          <w:headerReference w:type="default" r:id="rId8"/>
          <w:pgSz w:w="11906" w:h="16838"/>
          <w:pgMar w:top="1440" w:right="1800" w:bottom="1440" w:left="1800" w:header="851" w:footer="992" w:gutter="0"/>
          <w:cols w:num="1" w:space="425"/>
          <w:titlePg/>
          <w:docGrid w:type="lines" w:linePitch="312" w:charSpace="0"/>
        </w:sectPr>
      </w:pPr>
    </w:p>
    <w:p>
      <w:pPr>
        <w:pStyle w:val="Title"/>
        <w:jc w:val="both"/>
        <w:rPr>
          <w:rFonts w:ascii="黑体" w:eastAsia="黑体" w:hAnsi="黑体" w:cs="黑体" w:hint="default"/>
          <w:color w:val="auto"/>
          <w:sz w:val="32"/>
          <w:szCs w:val="32"/>
          <w:lang w:val="en-US" w:eastAsia="zh-CN"/>
        </w:rPr>
      </w:pPr>
      <w:r>
        <w:rPr>
          <w:rFonts w:ascii="黑体" w:eastAsia="黑体" w:hAnsi="黑体" w:cs="黑体" w:hint="eastAsia"/>
          <w:color w:val="auto"/>
          <w:sz w:val="32"/>
          <w:szCs w:val="32"/>
          <w:lang w:val="en-US" w:eastAsia="zh-CN"/>
        </w:rPr>
        <w:t>附录1</w:t>
      </w:r>
    </w:p>
    <w:tbl>
      <w:tblPr>
        <w:tblStyle w:val="TableNormal"/>
        <w:tblW w:w="922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ayout w:type="fixed"/>
        <w:tblCellMar>
          <w:top w:w="0" w:type="dxa"/>
          <w:left w:w="108" w:type="dxa"/>
          <w:bottom w:w="0" w:type="dxa"/>
          <w:right w:w="108" w:type="dxa"/>
        </w:tblCellMar>
      </w:tblPr>
      <w:tblGrid>
        <w:gridCol w:w="1151"/>
        <w:gridCol w:w="8074"/>
      </w:tblGrid>
      <w:tr>
        <w:tblPrEx>
          <w:tblW w:w="922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ayout w:type="fixed"/>
          <w:tblCellMar>
            <w:top w:w="0" w:type="dxa"/>
            <w:left w:w="108" w:type="dxa"/>
            <w:bottom w:w="0" w:type="dxa"/>
            <w:right w:w="108" w:type="dxa"/>
          </w:tblCellMar>
        </w:tblPrEx>
        <w:trPr>
          <w:trHeight w:val="490"/>
          <w:tblHeader/>
        </w:trPr>
        <w:tc>
          <w:tcPr>
            <w:tcW w:w="92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line="300" w:lineRule="exact"/>
              <w:jc w:val="center"/>
              <w:textAlignment w:val="center"/>
              <w:rPr>
                <w:rFonts w:ascii="仿宋_GB2312" w:eastAsia="仿宋_GB2312" w:hAnsi="仿宋_GB2312" w:cs="仿宋_GB2312" w:hint="eastAsia"/>
                <w:b/>
                <w:bCs/>
                <w:i w:val="0"/>
                <w:iCs w:val="0"/>
                <w:color w:val="000000"/>
                <w:sz w:val="21"/>
                <w:szCs w:val="21"/>
                <w:u w:val="none"/>
              </w:rPr>
            </w:pPr>
            <w:r>
              <w:rPr>
                <w:rFonts w:ascii="仿宋_GB2312" w:eastAsia="仿宋_GB2312" w:hAnsi="仿宋_GB2312" w:cs="仿宋_GB2312" w:hint="eastAsia"/>
                <w:b/>
                <w:bCs/>
                <w:i w:val="0"/>
                <w:iCs w:val="0"/>
                <w:color w:val="000000"/>
                <w:kern w:val="0"/>
                <w:sz w:val="28"/>
                <w:szCs w:val="28"/>
                <w:u w:val="none"/>
                <w:lang w:val="en-US" w:eastAsia="zh-CN" w:bidi="ar"/>
              </w:rPr>
              <w:t>材料补充说明</w:t>
            </w:r>
          </w:p>
        </w:tc>
      </w:tr>
      <w:tr>
        <w:tblPrEx>
          <w:tblW w:w="9225" w:type="dxa"/>
          <w:tblInd w:w="0" w:type="dxa"/>
          <w:shd w:val="clear" w:color="auto" w:fill="auto"/>
          <w:tblLayout w:type="fixed"/>
          <w:tblCellMar>
            <w:top w:w="0" w:type="dxa"/>
            <w:left w:w="108" w:type="dxa"/>
            <w:bottom w:w="0" w:type="dxa"/>
            <w:right w:w="108" w:type="dxa"/>
          </w:tblCellMar>
        </w:tblPrEx>
        <w:trPr>
          <w:trHeight w:val="272"/>
          <w:tblHeader/>
        </w:trPr>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line="300" w:lineRule="exact"/>
              <w:jc w:val="center"/>
              <w:textAlignment w:val="center"/>
              <w:rPr>
                <w:rFonts w:ascii="仿宋_GB2312" w:eastAsia="仿宋_GB2312" w:hAnsi="仿宋_GB2312" w:cs="仿宋_GB2312" w:hint="eastAsia"/>
                <w:b/>
                <w:bCs/>
                <w:i w:val="0"/>
                <w:iCs w:val="0"/>
                <w:color w:val="000000"/>
                <w:kern w:val="2"/>
                <w:sz w:val="21"/>
                <w:szCs w:val="21"/>
                <w:u w:val="none"/>
                <w:lang w:val="en-US" w:eastAsia="zh-CN" w:bidi="ar-SA"/>
              </w:rPr>
            </w:pPr>
            <w:r>
              <w:rPr>
                <w:rFonts w:ascii="仿宋_GB2312" w:eastAsia="仿宋_GB2312" w:hAnsi="仿宋_GB2312" w:cs="仿宋_GB2312" w:hint="eastAsia"/>
                <w:b/>
                <w:bCs/>
                <w:i w:val="0"/>
                <w:iCs w:val="0"/>
                <w:color w:val="000000"/>
                <w:kern w:val="0"/>
                <w:sz w:val="21"/>
                <w:szCs w:val="21"/>
                <w:u w:val="none"/>
                <w:lang w:val="en-US" w:eastAsia="zh-CN" w:bidi="ar"/>
              </w:rPr>
              <w:t>资料类型</w:t>
            </w:r>
          </w:p>
        </w:tc>
        <w:tc>
          <w:tcPr>
            <w:tcW w:w="8074"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line="300" w:lineRule="exact"/>
              <w:jc w:val="center"/>
              <w:textAlignment w:val="center"/>
              <w:rPr>
                <w:rFonts w:ascii="仿宋_GB2312" w:eastAsia="仿宋_GB2312" w:hAnsi="仿宋_GB2312" w:cs="仿宋_GB2312" w:hint="eastAsia"/>
                <w:b/>
                <w:bCs/>
                <w:i w:val="0"/>
                <w:iCs w:val="0"/>
                <w:color w:val="000000"/>
                <w:kern w:val="2"/>
                <w:sz w:val="21"/>
                <w:szCs w:val="21"/>
                <w:u w:val="none"/>
                <w:lang w:val="en-US" w:eastAsia="zh-CN" w:bidi="ar-SA"/>
              </w:rPr>
            </w:pPr>
            <w:r>
              <w:rPr>
                <w:rFonts w:ascii="仿宋_GB2312" w:eastAsia="仿宋_GB2312" w:hAnsi="仿宋_GB2312" w:cs="仿宋_GB2312" w:hint="eastAsia"/>
                <w:b/>
                <w:bCs/>
                <w:i w:val="0"/>
                <w:iCs w:val="0"/>
                <w:color w:val="000000"/>
                <w:kern w:val="0"/>
                <w:sz w:val="21"/>
                <w:szCs w:val="21"/>
                <w:u w:val="none"/>
                <w:lang w:val="en-US" w:eastAsia="zh-CN" w:bidi="ar"/>
              </w:rPr>
              <w:t>具体资料</w:t>
            </w:r>
          </w:p>
        </w:tc>
      </w:tr>
      <w:tr>
        <w:tblPrEx>
          <w:tblW w:w="9225" w:type="dxa"/>
          <w:tblInd w:w="0" w:type="dxa"/>
          <w:shd w:val="clear" w:color="auto" w:fill="auto"/>
          <w:tblLayout w:type="fixed"/>
          <w:tblCellMar>
            <w:top w:w="0" w:type="dxa"/>
            <w:left w:w="108" w:type="dxa"/>
            <w:bottom w:w="0" w:type="dxa"/>
            <w:right w:w="108" w:type="dxa"/>
          </w:tblCellMar>
        </w:tblPrEx>
        <w:trPr>
          <w:trHeight w:val="1158"/>
        </w:trPr>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line="300" w:lineRule="exact"/>
              <w:jc w:val="center"/>
              <w:textAlignment w:val="center"/>
              <w:rPr>
                <w:rFonts w:ascii="仿宋_GB2312" w:eastAsia="仿宋_GB2312" w:hAnsi="仿宋_GB2312" w:cs="仿宋_GB2312" w:hint="eastAsia"/>
                <w:b/>
                <w:bCs/>
                <w:i w:val="0"/>
                <w:iCs w:val="0"/>
                <w:color w:val="000000"/>
                <w:sz w:val="21"/>
                <w:szCs w:val="21"/>
                <w:u w:val="none"/>
              </w:rPr>
            </w:pPr>
            <w:r>
              <w:rPr>
                <w:rFonts w:ascii="仿宋_GB2312" w:eastAsia="仿宋_GB2312" w:hAnsi="仿宋_GB2312" w:cs="仿宋_GB2312" w:hint="eastAsia"/>
                <w:b/>
                <w:bCs/>
                <w:i w:val="0"/>
                <w:iCs w:val="0"/>
                <w:color w:val="000000"/>
                <w:kern w:val="0"/>
                <w:sz w:val="21"/>
                <w:szCs w:val="21"/>
                <w:u w:val="none"/>
                <w:lang w:val="en-US" w:eastAsia="zh-CN" w:bidi="ar"/>
              </w:rPr>
              <w:t>身份证明材料（其中一项）</w:t>
            </w:r>
          </w:p>
        </w:tc>
        <w:tc>
          <w:tcPr>
            <w:tcW w:w="8074"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line="300" w:lineRule="exact"/>
              <w:jc w:val="both"/>
              <w:textAlignment w:val="center"/>
              <w:rPr>
                <w:rFonts w:ascii="仿宋_GB2312" w:eastAsia="仿宋_GB2312" w:hAnsi="仿宋_GB2312" w:cs="仿宋_GB2312" w:hint="eastAsia"/>
                <w:b/>
                <w:bCs/>
                <w:i w:val="0"/>
                <w:iCs w:val="0"/>
                <w:color w:val="000000"/>
                <w:sz w:val="21"/>
                <w:szCs w:val="21"/>
                <w:u w:val="none"/>
              </w:rPr>
            </w:pPr>
            <w:r>
              <w:rPr>
                <w:rFonts w:ascii="仿宋_GB2312" w:eastAsia="仿宋_GB2312" w:hAnsi="仿宋_GB2312" w:cs="仿宋_GB2312" w:hint="eastAsia"/>
                <w:b/>
                <w:bCs/>
                <w:i w:val="0"/>
                <w:iCs w:val="0"/>
                <w:color w:val="000000"/>
                <w:kern w:val="0"/>
                <w:sz w:val="21"/>
                <w:szCs w:val="21"/>
                <w:u w:val="none"/>
                <w:lang w:val="en-US" w:eastAsia="zh-CN" w:bidi="ar"/>
              </w:rPr>
              <w:t>1．公司、企业：</w:t>
            </w:r>
            <w:r>
              <w:rPr>
                <w:rFonts w:ascii="仿宋_GB2312" w:eastAsia="仿宋_GB2312" w:hAnsi="仿宋_GB2312" w:cs="仿宋_GB2312" w:hint="eastAsia"/>
                <w:i w:val="0"/>
                <w:iCs w:val="0"/>
                <w:color w:val="000000"/>
                <w:kern w:val="0"/>
                <w:sz w:val="21"/>
                <w:szCs w:val="21"/>
                <w:u w:val="none"/>
                <w:lang w:val="en-US" w:eastAsia="zh-CN" w:bidi="ar"/>
              </w:rPr>
              <w:t>《企业法人营业执照》、《营业执照》、《统一社会信用代码证》、《组织机构代码证》（其中之一加法人身份证明材料）。</w:t>
            </w:r>
            <w:r>
              <w:rPr>
                <w:rFonts w:ascii="仿宋_GB2312" w:eastAsia="仿宋_GB2312" w:hAnsi="仿宋_GB2312" w:cs="仿宋_GB2312" w:hint="eastAsia"/>
                <w:i w:val="0"/>
                <w:iCs w:val="0"/>
                <w:color w:val="000000"/>
                <w:kern w:val="0"/>
                <w:sz w:val="21"/>
                <w:szCs w:val="21"/>
                <w:u w:val="none"/>
                <w:lang w:val="en-US" w:eastAsia="zh-CN" w:bidi="ar"/>
              </w:rPr>
              <w:br/>
            </w:r>
            <w:r>
              <w:rPr>
                <w:rFonts w:ascii="仿宋_GB2312" w:eastAsia="仿宋_GB2312" w:hAnsi="仿宋_GB2312" w:cs="仿宋_GB2312" w:hint="eastAsia"/>
                <w:b/>
                <w:bCs/>
                <w:i w:val="0"/>
                <w:iCs w:val="0"/>
                <w:color w:val="000000"/>
                <w:kern w:val="0"/>
                <w:sz w:val="21"/>
                <w:szCs w:val="21"/>
                <w:u w:val="none"/>
                <w:lang w:val="en-US" w:eastAsia="zh-CN" w:bidi="ar"/>
              </w:rPr>
              <w:t>2.社会团体：</w:t>
            </w:r>
            <w:r>
              <w:rPr>
                <w:rFonts w:ascii="仿宋_GB2312" w:eastAsia="仿宋_GB2312" w:hAnsi="仿宋_GB2312" w:cs="仿宋_GB2312" w:hint="eastAsia"/>
                <w:i w:val="0"/>
                <w:iCs w:val="0"/>
                <w:color w:val="000000"/>
                <w:kern w:val="0"/>
                <w:sz w:val="21"/>
                <w:szCs w:val="21"/>
                <w:u w:val="none"/>
                <w:lang w:val="en-US" w:eastAsia="zh-CN" w:bidi="ar"/>
              </w:rPr>
              <w:t>《社会法人执照》、《统一社会信用代码证》、《社会服务机构法人登记证书》、《社团法人执照》、《组织机构代码证》、《民办非企业单位登记证书》（其中之一加法人身份证明材料）。</w:t>
            </w:r>
            <w:r>
              <w:rPr>
                <w:rFonts w:ascii="仿宋_GB2312" w:eastAsia="仿宋_GB2312" w:hAnsi="仿宋_GB2312" w:cs="仿宋_GB2312" w:hint="eastAsia"/>
                <w:i w:val="0"/>
                <w:iCs w:val="0"/>
                <w:color w:val="000000"/>
                <w:kern w:val="0"/>
                <w:sz w:val="21"/>
                <w:szCs w:val="21"/>
                <w:u w:val="none"/>
                <w:lang w:val="en-US" w:eastAsia="zh-CN" w:bidi="ar"/>
              </w:rPr>
              <w:br/>
            </w:r>
            <w:r>
              <w:rPr>
                <w:rFonts w:ascii="仿宋_GB2312" w:eastAsia="仿宋_GB2312" w:hAnsi="仿宋_GB2312" w:cs="仿宋_GB2312" w:hint="eastAsia"/>
                <w:b/>
                <w:bCs/>
                <w:i w:val="0"/>
                <w:iCs w:val="0"/>
                <w:color w:val="000000"/>
                <w:kern w:val="0"/>
                <w:sz w:val="21"/>
                <w:szCs w:val="21"/>
                <w:u w:val="none"/>
                <w:lang w:val="en-US" w:eastAsia="zh-CN" w:bidi="ar"/>
              </w:rPr>
              <w:t>3.机关、事业单位、其他组织：</w:t>
            </w:r>
            <w:r>
              <w:rPr>
                <w:rFonts w:ascii="仿宋_GB2312" w:eastAsia="仿宋_GB2312" w:hAnsi="仿宋_GB2312" w:cs="仿宋_GB2312" w:hint="eastAsia"/>
                <w:i w:val="0"/>
                <w:iCs w:val="0"/>
                <w:color w:val="000000"/>
                <w:kern w:val="0"/>
                <w:sz w:val="21"/>
                <w:szCs w:val="21"/>
                <w:u w:val="none"/>
                <w:lang w:val="en-US" w:eastAsia="zh-CN" w:bidi="ar"/>
              </w:rPr>
              <w:t>上级单位（组建单位、主管单位等）证明文件；政府、行业主管部门批准其成立的文件；政府、行业主管部门颁发的有关证照、证明；《统一社会信用代码证》；《组织机构代码证》；《农村集体经济组织登记证》（其中之一加法人身份证明材料）。</w:t>
            </w:r>
            <w:r>
              <w:rPr>
                <w:rFonts w:ascii="仿宋_GB2312" w:eastAsia="仿宋_GB2312" w:hAnsi="仿宋_GB2312" w:cs="仿宋_GB2312" w:hint="eastAsia"/>
                <w:i w:val="0"/>
                <w:iCs w:val="0"/>
                <w:color w:val="000000"/>
                <w:kern w:val="0"/>
                <w:sz w:val="21"/>
                <w:szCs w:val="21"/>
                <w:u w:val="none"/>
                <w:lang w:val="en-US" w:eastAsia="zh-CN" w:bidi="ar"/>
              </w:rPr>
              <w:br/>
            </w:r>
            <w:r>
              <w:rPr>
                <w:rFonts w:ascii="仿宋_GB2312" w:eastAsia="仿宋_GB2312" w:hAnsi="仿宋_GB2312" w:cs="仿宋_GB2312" w:hint="eastAsia"/>
                <w:i w:val="0"/>
                <w:iCs w:val="0"/>
                <w:color w:val="000000"/>
                <w:kern w:val="0"/>
                <w:sz w:val="21"/>
                <w:szCs w:val="21"/>
                <w:u w:val="none"/>
                <w:lang w:val="en-US" w:eastAsia="zh-CN" w:bidi="ar"/>
              </w:rPr>
              <w:t>（已提供加载统一社会信用代码的营业执照的，不再要求提供统一社会信用代码证和税务登记证明）</w:t>
            </w:r>
            <w:r>
              <w:rPr>
                <w:rFonts w:ascii="仿宋_GB2312" w:eastAsia="仿宋_GB2312" w:hAnsi="仿宋_GB2312" w:cs="仿宋_GB2312" w:hint="eastAsia"/>
                <w:i w:val="0"/>
                <w:iCs w:val="0"/>
                <w:color w:val="000000"/>
                <w:kern w:val="0"/>
                <w:sz w:val="21"/>
                <w:szCs w:val="21"/>
                <w:u w:val="none"/>
                <w:lang w:val="en-US" w:eastAsia="zh-CN" w:bidi="ar"/>
              </w:rPr>
              <w:br/>
            </w:r>
            <w:r>
              <w:rPr>
                <w:rFonts w:ascii="仿宋_GB2312" w:eastAsia="仿宋_GB2312" w:hAnsi="仿宋_GB2312" w:cs="仿宋_GB2312" w:hint="eastAsia"/>
                <w:b/>
                <w:bCs/>
                <w:i w:val="0"/>
                <w:iCs w:val="0"/>
                <w:color w:val="000000"/>
                <w:kern w:val="0"/>
                <w:sz w:val="21"/>
                <w:szCs w:val="21"/>
                <w:u w:val="none"/>
                <w:lang w:val="en-US" w:eastAsia="zh-CN" w:bidi="ar"/>
              </w:rPr>
              <w:t>4.自然人客户：</w:t>
            </w:r>
            <w:r>
              <w:rPr>
                <w:rFonts w:ascii="仿宋_GB2312" w:eastAsia="仿宋_GB2312" w:hAnsi="仿宋_GB2312" w:cs="仿宋_GB2312" w:hint="eastAsia"/>
                <w:i w:val="0"/>
                <w:iCs w:val="0"/>
                <w:color w:val="000000"/>
                <w:kern w:val="0"/>
                <w:sz w:val="21"/>
                <w:szCs w:val="21"/>
                <w:u w:val="none"/>
                <w:lang w:val="en-US" w:eastAsia="zh-CN" w:bidi="ar"/>
              </w:rPr>
              <w:t>居民身份证、军人证（现役）、护照、户口本、港澳居民内地通行证、港澳通行证、台湾居民内地通行证、内地居民台湾通行证、外国护照、外国永久居留证（绿卡）、其他有效身份证明文书等原件。</w:t>
            </w:r>
            <w:r>
              <w:rPr>
                <w:rFonts w:ascii="仿宋_GB2312" w:eastAsia="仿宋_GB2312" w:hAnsi="仿宋_GB2312" w:cs="仿宋_GB2312" w:hint="eastAsia"/>
                <w:i w:val="0"/>
                <w:iCs w:val="0"/>
                <w:color w:val="000000"/>
                <w:kern w:val="0"/>
                <w:sz w:val="21"/>
                <w:szCs w:val="21"/>
                <w:u w:val="none"/>
                <w:lang w:val="en-US" w:eastAsia="zh-CN" w:bidi="ar"/>
              </w:rPr>
              <w:br/>
            </w:r>
            <w:r>
              <w:rPr>
                <w:rFonts w:ascii="仿宋_GB2312" w:eastAsia="仿宋_GB2312" w:hAnsi="仿宋_GB2312" w:cs="仿宋_GB2312" w:hint="eastAsia"/>
                <w:b/>
                <w:bCs/>
                <w:i w:val="0"/>
                <w:iCs w:val="0"/>
                <w:color w:val="000000"/>
                <w:kern w:val="0"/>
                <w:sz w:val="21"/>
                <w:szCs w:val="21"/>
                <w:u w:val="none"/>
                <w:lang w:val="en-US" w:eastAsia="zh-CN" w:bidi="ar"/>
              </w:rPr>
              <w:t>5. 租赁户：</w:t>
            </w:r>
            <w:r>
              <w:rPr>
                <w:rFonts w:ascii="仿宋_GB2312" w:eastAsia="仿宋_GB2312" w:hAnsi="仿宋_GB2312" w:cs="仿宋_GB2312" w:hint="eastAsia"/>
                <w:i w:val="0"/>
                <w:iCs w:val="0"/>
                <w:color w:val="000000"/>
                <w:kern w:val="0"/>
                <w:sz w:val="21"/>
                <w:szCs w:val="21"/>
                <w:u w:val="none"/>
                <w:lang w:val="en-US" w:eastAsia="zh-CN" w:bidi="ar"/>
              </w:rPr>
              <w:t>租赁合同甲乙双方身份证明材料。</w:t>
            </w:r>
            <w:r>
              <w:rPr>
                <w:rFonts w:ascii="仿宋_GB2312" w:eastAsia="仿宋_GB2312" w:hAnsi="仿宋_GB2312" w:cs="仿宋_GB2312" w:hint="eastAsia"/>
                <w:i w:val="0"/>
                <w:iCs w:val="0"/>
                <w:color w:val="000000"/>
                <w:kern w:val="0"/>
                <w:sz w:val="21"/>
                <w:szCs w:val="21"/>
                <w:u w:val="none"/>
                <w:lang w:val="en-US" w:eastAsia="zh-CN" w:bidi="ar"/>
              </w:rPr>
              <w:br/>
            </w:r>
            <w:r>
              <w:rPr>
                <w:rFonts w:ascii="仿宋_GB2312" w:eastAsia="仿宋_GB2312" w:hAnsi="仿宋_GB2312" w:cs="仿宋_GB2312" w:hint="eastAsia"/>
                <w:b/>
                <w:bCs/>
                <w:i w:val="0"/>
                <w:iCs w:val="0"/>
                <w:color w:val="000000"/>
                <w:kern w:val="0"/>
                <w:sz w:val="21"/>
                <w:szCs w:val="21"/>
                <w:u w:val="none"/>
                <w:lang w:val="en-US" w:eastAsia="zh-CN" w:bidi="ar"/>
              </w:rPr>
              <w:t xml:space="preserve">注：非法人或业主本人办理，需提供授权委托书（附录2）并明确授权委托的权限、期限，经办人有效身份证明材料。   </w:t>
            </w:r>
          </w:p>
        </w:tc>
      </w:tr>
      <w:tr>
        <w:tblPrEx>
          <w:tblW w:w="9225" w:type="dxa"/>
          <w:tblInd w:w="0" w:type="dxa"/>
          <w:shd w:val="clear" w:color="auto" w:fill="auto"/>
          <w:tblLayout w:type="fixed"/>
          <w:tblCellMar>
            <w:top w:w="0" w:type="dxa"/>
            <w:left w:w="108" w:type="dxa"/>
            <w:bottom w:w="0" w:type="dxa"/>
            <w:right w:w="108" w:type="dxa"/>
          </w:tblCellMar>
        </w:tblPrEx>
        <w:trPr>
          <w:trHeight w:val="780"/>
        </w:trPr>
        <w:tc>
          <w:tcPr>
            <w:tcW w:w="11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line="300" w:lineRule="exact"/>
              <w:jc w:val="center"/>
              <w:textAlignment w:val="center"/>
              <w:rPr>
                <w:rFonts w:ascii="仿宋_GB2312" w:eastAsia="仿宋_GB2312" w:hAnsi="仿宋_GB2312" w:cs="仿宋_GB2312" w:hint="eastAsia"/>
                <w:b/>
                <w:bCs/>
                <w:i w:val="0"/>
                <w:iCs w:val="0"/>
                <w:color w:val="000000"/>
                <w:sz w:val="21"/>
                <w:szCs w:val="21"/>
                <w:u w:val="none"/>
              </w:rPr>
            </w:pPr>
            <w:r>
              <w:rPr>
                <w:rFonts w:ascii="仿宋_GB2312" w:eastAsia="仿宋_GB2312" w:hAnsi="仿宋_GB2312" w:cs="仿宋_GB2312" w:hint="eastAsia"/>
                <w:b/>
                <w:bCs/>
                <w:i w:val="0"/>
                <w:iCs w:val="0"/>
                <w:color w:val="000000"/>
                <w:kern w:val="0"/>
                <w:sz w:val="21"/>
                <w:szCs w:val="21"/>
                <w:u w:val="none"/>
                <w:lang w:val="en-US" w:eastAsia="zh-CN" w:bidi="ar"/>
              </w:rPr>
              <w:t>物业权属证明材料（其中一项）</w:t>
            </w:r>
          </w:p>
        </w:tc>
        <w:tc>
          <w:tcPr>
            <w:tcW w:w="8074"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line="300" w:lineRule="exact"/>
              <w:jc w:val="both"/>
              <w:textAlignment w:val="center"/>
              <w:rPr>
                <w:rFonts w:ascii="仿宋_GB2312" w:eastAsia="仿宋_GB2312" w:hAnsi="仿宋_GB2312" w:cs="仿宋_GB2312" w:hint="eastAsia"/>
                <w:i w:val="0"/>
                <w:iCs w:val="0"/>
                <w:color w:val="000000"/>
                <w:sz w:val="21"/>
                <w:szCs w:val="21"/>
                <w:u w:val="none"/>
              </w:rPr>
            </w:pPr>
            <w:r>
              <w:rPr>
                <w:rFonts w:ascii="仿宋_GB2312" w:eastAsia="仿宋_GB2312" w:hAnsi="仿宋_GB2312" w:cs="仿宋_GB2312" w:hint="eastAsia"/>
                <w:i w:val="0"/>
                <w:iCs w:val="0"/>
                <w:color w:val="000000"/>
                <w:kern w:val="0"/>
                <w:sz w:val="21"/>
                <w:szCs w:val="21"/>
                <w:u w:val="none"/>
                <w:lang w:val="en-US" w:eastAsia="zh-CN" w:bidi="ar"/>
              </w:rPr>
              <w:t>以自有建筑物为用电地址：《房地产权证》、《不动产权证》、《房产证》、《集体土地房产证》、《宅基地使用证》、经房管部门登记备案的《购房合同》或提供的租簿《租用房屋凭证》、房产交易办证回执(其中之一)。</w:t>
            </w:r>
          </w:p>
        </w:tc>
      </w:tr>
      <w:tr>
        <w:tblPrEx>
          <w:tblW w:w="9225" w:type="dxa"/>
          <w:tblInd w:w="0" w:type="dxa"/>
          <w:shd w:val="clear" w:color="auto" w:fill="auto"/>
          <w:tblLayout w:type="fixed"/>
          <w:tblCellMar>
            <w:top w:w="0" w:type="dxa"/>
            <w:left w:w="108" w:type="dxa"/>
            <w:bottom w:w="0" w:type="dxa"/>
            <w:right w:w="108" w:type="dxa"/>
          </w:tblCellMar>
        </w:tblPrEx>
        <w:trPr>
          <w:trHeight w:val="640"/>
        </w:trPr>
        <w:tc>
          <w:tcPr>
            <w:tcW w:w="11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spacing w:line="300" w:lineRule="exact"/>
              <w:jc w:val="center"/>
              <w:rPr>
                <w:rFonts w:ascii="仿宋_GB2312" w:eastAsia="仿宋_GB2312" w:hAnsi="仿宋_GB2312" w:cs="仿宋_GB2312" w:hint="eastAsia"/>
                <w:b/>
                <w:bCs/>
                <w:i w:val="0"/>
                <w:iCs w:val="0"/>
                <w:color w:val="000000"/>
                <w:sz w:val="21"/>
                <w:szCs w:val="21"/>
                <w:u w:val="none"/>
              </w:rPr>
            </w:pPr>
          </w:p>
        </w:tc>
        <w:tc>
          <w:tcPr>
            <w:tcW w:w="8074"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line="300" w:lineRule="exact"/>
              <w:jc w:val="both"/>
              <w:textAlignment w:val="center"/>
              <w:rPr>
                <w:rFonts w:ascii="仿宋_GB2312" w:eastAsia="仿宋_GB2312" w:hAnsi="仿宋_GB2312" w:cs="仿宋_GB2312" w:hint="eastAsia"/>
                <w:i w:val="0"/>
                <w:iCs w:val="0"/>
                <w:color w:val="000000"/>
                <w:sz w:val="21"/>
                <w:szCs w:val="21"/>
                <w:u w:val="none"/>
              </w:rPr>
            </w:pPr>
            <w:r>
              <w:rPr>
                <w:rFonts w:ascii="仿宋_GB2312" w:eastAsia="仿宋_GB2312" w:hAnsi="仿宋_GB2312" w:cs="仿宋_GB2312" w:hint="eastAsia"/>
                <w:i w:val="0"/>
                <w:iCs w:val="0"/>
                <w:color w:val="000000"/>
                <w:kern w:val="0"/>
                <w:sz w:val="21"/>
                <w:szCs w:val="21"/>
                <w:u w:val="none"/>
                <w:lang w:val="en-US" w:eastAsia="zh-CN" w:bidi="ar"/>
              </w:rPr>
              <w:t>因进行工程建设申请用电或使用自有未办理房产证的新建建筑物用电: 《建设用地规划许可证》及附录附图、《建设工程规划许可证》及附录附图。</w:t>
            </w:r>
          </w:p>
        </w:tc>
      </w:tr>
      <w:tr>
        <w:tblPrEx>
          <w:tblW w:w="9225" w:type="dxa"/>
          <w:tblInd w:w="0" w:type="dxa"/>
          <w:shd w:val="clear" w:color="auto" w:fill="auto"/>
          <w:tblLayout w:type="fixed"/>
          <w:tblCellMar>
            <w:top w:w="0" w:type="dxa"/>
            <w:left w:w="108" w:type="dxa"/>
            <w:bottom w:w="0" w:type="dxa"/>
            <w:right w:w="108" w:type="dxa"/>
          </w:tblCellMar>
        </w:tblPrEx>
        <w:trPr>
          <w:trHeight w:val="270"/>
        </w:trPr>
        <w:tc>
          <w:tcPr>
            <w:tcW w:w="11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spacing w:line="300" w:lineRule="exact"/>
              <w:jc w:val="center"/>
              <w:rPr>
                <w:rFonts w:ascii="仿宋_GB2312" w:eastAsia="仿宋_GB2312" w:hAnsi="仿宋_GB2312" w:cs="仿宋_GB2312" w:hint="eastAsia"/>
                <w:b/>
                <w:bCs/>
                <w:i w:val="0"/>
                <w:iCs w:val="0"/>
                <w:color w:val="000000"/>
                <w:sz w:val="21"/>
                <w:szCs w:val="21"/>
                <w:u w:val="none"/>
              </w:rPr>
            </w:pPr>
          </w:p>
        </w:tc>
        <w:tc>
          <w:tcPr>
            <w:tcW w:w="8074"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line="300" w:lineRule="exact"/>
              <w:jc w:val="both"/>
              <w:textAlignment w:val="center"/>
              <w:rPr>
                <w:rFonts w:ascii="仿宋_GB2312" w:eastAsia="仿宋_GB2312" w:hAnsi="仿宋_GB2312" w:cs="仿宋_GB2312" w:hint="eastAsia"/>
                <w:i w:val="0"/>
                <w:iCs w:val="0"/>
                <w:color w:val="000000"/>
                <w:sz w:val="21"/>
                <w:szCs w:val="21"/>
                <w:u w:val="none"/>
              </w:rPr>
            </w:pPr>
            <w:r>
              <w:rPr>
                <w:rFonts w:ascii="仿宋_GB2312" w:eastAsia="仿宋_GB2312" w:hAnsi="仿宋_GB2312" w:cs="仿宋_GB2312" w:hint="eastAsia"/>
                <w:i w:val="0"/>
                <w:iCs w:val="0"/>
                <w:color w:val="000000"/>
                <w:kern w:val="0"/>
                <w:sz w:val="21"/>
                <w:szCs w:val="21"/>
                <w:u w:val="none"/>
                <w:lang w:val="en-US" w:eastAsia="zh-CN" w:bidi="ar"/>
              </w:rPr>
              <w:t>使用自有的无建筑物的土地用电：《国有土地使用证》、《集体土地所有权证》、《土地不动产证》(其中之一)。</w:t>
            </w:r>
          </w:p>
        </w:tc>
      </w:tr>
      <w:tr>
        <w:tblPrEx>
          <w:tblW w:w="9225" w:type="dxa"/>
          <w:tblInd w:w="0" w:type="dxa"/>
          <w:shd w:val="clear" w:color="auto" w:fill="auto"/>
          <w:tblLayout w:type="fixed"/>
          <w:tblCellMar>
            <w:top w:w="0" w:type="dxa"/>
            <w:left w:w="108" w:type="dxa"/>
            <w:bottom w:w="0" w:type="dxa"/>
            <w:right w:w="108" w:type="dxa"/>
          </w:tblCellMar>
        </w:tblPrEx>
        <w:trPr>
          <w:trHeight w:val="580"/>
        </w:trPr>
        <w:tc>
          <w:tcPr>
            <w:tcW w:w="11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spacing w:line="300" w:lineRule="exact"/>
              <w:jc w:val="center"/>
              <w:rPr>
                <w:rFonts w:ascii="仿宋_GB2312" w:eastAsia="仿宋_GB2312" w:hAnsi="仿宋_GB2312" w:cs="仿宋_GB2312" w:hint="eastAsia"/>
                <w:b/>
                <w:bCs/>
                <w:i w:val="0"/>
                <w:iCs w:val="0"/>
                <w:color w:val="000000"/>
                <w:sz w:val="21"/>
                <w:szCs w:val="21"/>
                <w:u w:val="none"/>
              </w:rPr>
            </w:pPr>
          </w:p>
        </w:tc>
        <w:tc>
          <w:tcPr>
            <w:tcW w:w="8074"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line="300" w:lineRule="exact"/>
              <w:jc w:val="both"/>
              <w:textAlignment w:val="center"/>
              <w:rPr>
                <w:rFonts w:ascii="仿宋_GB2312" w:eastAsia="仿宋_GB2312" w:hAnsi="仿宋_GB2312" w:cs="仿宋_GB2312" w:hint="eastAsia"/>
                <w:i w:val="0"/>
                <w:iCs w:val="0"/>
                <w:color w:val="000000"/>
                <w:sz w:val="21"/>
                <w:szCs w:val="21"/>
                <w:u w:val="none"/>
              </w:rPr>
            </w:pPr>
            <w:r>
              <w:rPr>
                <w:rFonts w:ascii="仿宋_GB2312" w:eastAsia="仿宋_GB2312" w:hAnsi="仿宋_GB2312" w:cs="仿宋_GB2312" w:hint="eastAsia"/>
                <w:i w:val="0"/>
                <w:iCs w:val="0"/>
                <w:color w:val="000000"/>
                <w:kern w:val="0"/>
                <w:sz w:val="21"/>
                <w:szCs w:val="21"/>
                <w:u w:val="none"/>
                <w:lang w:val="en-US" w:eastAsia="zh-CN" w:bidi="ar"/>
              </w:rPr>
              <w:t>当地发改部门关于项目立项的批复、核准、备案文件，或当地规划部门关于项目的建设工程规划许可证或区（县）以上政府部门的绿色通道和政府的会议纪要证明等。</w:t>
            </w:r>
          </w:p>
        </w:tc>
      </w:tr>
      <w:tr>
        <w:tblPrEx>
          <w:tblW w:w="9225" w:type="dxa"/>
          <w:tblInd w:w="0" w:type="dxa"/>
          <w:shd w:val="clear" w:color="auto" w:fill="auto"/>
          <w:tblLayout w:type="fixed"/>
          <w:tblCellMar>
            <w:top w:w="0" w:type="dxa"/>
            <w:left w:w="108" w:type="dxa"/>
            <w:bottom w:w="0" w:type="dxa"/>
            <w:right w:w="108" w:type="dxa"/>
          </w:tblCellMar>
        </w:tblPrEx>
        <w:trPr>
          <w:trHeight w:val="560"/>
        </w:trPr>
        <w:tc>
          <w:tcPr>
            <w:tcW w:w="11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spacing w:line="300" w:lineRule="exact"/>
              <w:jc w:val="center"/>
              <w:rPr>
                <w:rFonts w:ascii="仿宋_GB2312" w:eastAsia="仿宋_GB2312" w:hAnsi="仿宋_GB2312" w:cs="仿宋_GB2312" w:hint="eastAsia"/>
                <w:b/>
                <w:bCs/>
                <w:i w:val="0"/>
                <w:iCs w:val="0"/>
                <w:color w:val="000000"/>
                <w:sz w:val="21"/>
                <w:szCs w:val="21"/>
                <w:u w:val="none"/>
              </w:rPr>
            </w:pPr>
          </w:p>
        </w:tc>
        <w:tc>
          <w:tcPr>
            <w:tcW w:w="8074"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line="300" w:lineRule="exact"/>
              <w:jc w:val="both"/>
              <w:textAlignment w:val="center"/>
              <w:rPr>
                <w:rFonts w:ascii="仿宋_GB2312" w:eastAsia="仿宋_GB2312" w:hAnsi="仿宋_GB2312" w:cs="仿宋_GB2312" w:hint="eastAsia"/>
                <w:i w:val="0"/>
                <w:iCs w:val="0"/>
                <w:color w:val="000000"/>
                <w:sz w:val="21"/>
                <w:szCs w:val="21"/>
                <w:u w:val="none"/>
              </w:rPr>
            </w:pPr>
            <w:r>
              <w:rPr>
                <w:rFonts w:ascii="仿宋_GB2312" w:eastAsia="仿宋_GB2312" w:hAnsi="仿宋_GB2312" w:cs="仿宋_GB2312" w:hint="eastAsia"/>
                <w:i w:val="0"/>
                <w:iCs w:val="0"/>
                <w:color w:val="000000"/>
                <w:kern w:val="0"/>
                <w:sz w:val="21"/>
                <w:szCs w:val="21"/>
                <w:highlight w:val="none"/>
                <w:u w:val="none"/>
                <w:lang w:val="en-US" w:eastAsia="zh-CN" w:bidi="ar"/>
              </w:rPr>
              <w:t>由镇街及以上政府部门确认具有物业权属证明权限的有效证明文书或可供电证明，非城镇规划建设用地范围内的自建房居民生活用电客户可签订《承诺书》，相关证明信息内容应满足基本的现场土地产权甄别需要。</w:t>
            </w:r>
          </w:p>
        </w:tc>
      </w:tr>
      <w:tr>
        <w:tblPrEx>
          <w:tblW w:w="9225" w:type="dxa"/>
          <w:tblInd w:w="0" w:type="dxa"/>
          <w:shd w:val="clear" w:color="auto" w:fill="auto"/>
          <w:tblLayout w:type="fixed"/>
          <w:tblCellMar>
            <w:top w:w="0" w:type="dxa"/>
            <w:left w:w="108" w:type="dxa"/>
            <w:bottom w:w="0" w:type="dxa"/>
            <w:right w:w="108" w:type="dxa"/>
          </w:tblCellMar>
        </w:tblPrEx>
        <w:trPr>
          <w:trHeight w:val="580"/>
        </w:trPr>
        <w:tc>
          <w:tcPr>
            <w:tcW w:w="11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spacing w:line="300" w:lineRule="exact"/>
              <w:jc w:val="center"/>
              <w:rPr>
                <w:rFonts w:ascii="仿宋_GB2312" w:eastAsia="仿宋_GB2312" w:hAnsi="仿宋_GB2312" w:cs="仿宋_GB2312" w:hint="eastAsia"/>
                <w:b/>
                <w:bCs/>
                <w:i w:val="0"/>
                <w:iCs w:val="0"/>
                <w:color w:val="000000"/>
                <w:sz w:val="21"/>
                <w:szCs w:val="21"/>
                <w:u w:val="none"/>
              </w:rPr>
            </w:pPr>
          </w:p>
        </w:tc>
        <w:tc>
          <w:tcPr>
            <w:tcW w:w="8074"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line="300" w:lineRule="exact"/>
              <w:jc w:val="both"/>
              <w:textAlignment w:val="center"/>
              <w:rPr>
                <w:rFonts w:ascii="仿宋_GB2312" w:eastAsia="仿宋_GB2312" w:hAnsi="仿宋_GB2312" w:cs="仿宋_GB2312" w:hint="eastAsia"/>
                <w:i w:val="0"/>
                <w:iCs w:val="0"/>
                <w:color w:val="000000"/>
                <w:sz w:val="21"/>
                <w:szCs w:val="21"/>
                <w:u w:val="none"/>
              </w:rPr>
            </w:pPr>
            <w:r>
              <w:rPr>
                <w:rFonts w:ascii="仿宋_GB2312" w:eastAsia="仿宋_GB2312" w:hAnsi="仿宋_GB2312" w:cs="仿宋_GB2312" w:hint="eastAsia"/>
                <w:i w:val="0"/>
                <w:iCs w:val="0"/>
                <w:color w:val="000000"/>
                <w:kern w:val="0"/>
                <w:sz w:val="21"/>
                <w:szCs w:val="21"/>
                <w:u w:val="none"/>
                <w:lang w:val="en-US" w:eastAsia="zh-CN" w:bidi="ar"/>
              </w:rPr>
              <w:t>明确房屋产权判词的且发生法律效力的法律文书（包括判决书、裁定书、裁决书、调解书等）。注意：判决书、裁定书、裁决书、调解书等法律文书，须提交裁判机关出具的法律文书生效证明文件。</w:t>
            </w:r>
          </w:p>
        </w:tc>
      </w:tr>
      <w:tr>
        <w:tblPrEx>
          <w:tblW w:w="9225" w:type="dxa"/>
          <w:tblInd w:w="0" w:type="dxa"/>
          <w:shd w:val="clear" w:color="auto" w:fill="auto"/>
          <w:tblLayout w:type="fixed"/>
          <w:tblCellMar>
            <w:top w:w="0" w:type="dxa"/>
            <w:left w:w="108" w:type="dxa"/>
            <w:bottom w:w="0" w:type="dxa"/>
            <w:right w:w="108" w:type="dxa"/>
          </w:tblCellMar>
        </w:tblPrEx>
        <w:trPr>
          <w:trHeight w:val="1040"/>
        </w:trPr>
        <w:tc>
          <w:tcPr>
            <w:tcW w:w="11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spacing w:line="300" w:lineRule="exact"/>
              <w:jc w:val="center"/>
              <w:rPr>
                <w:rFonts w:ascii="仿宋_GB2312" w:eastAsia="仿宋_GB2312" w:hAnsi="仿宋_GB2312" w:cs="仿宋_GB2312" w:hint="eastAsia"/>
                <w:b/>
                <w:bCs/>
                <w:i w:val="0"/>
                <w:iCs w:val="0"/>
                <w:color w:val="000000"/>
                <w:sz w:val="21"/>
                <w:szCs w:val="21"/>
                <w:u w:val="none"/>
              </w:rPr>
            </w:pPr>
          </w:p>
        </w:tc>
        <w:tc>
          <w:tcPr>
            <w:tcW w:w="8074"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line="300" w:lineRule="exact"/>
              <w:jc w:val="both"/>
              <w:textAlignment w:val="center"/>
              <w:rPr>
                <w:rFonts w:ascii="仿宋_GB2312" w:eastAsia="仿宋_GB2312" w:hAnsi="仿宋_GB2312" w:cs="仿宋_GB2312" w:hint="eastAsia"/>
                <w:i w:val="0"/>
                <w:iCs w:val="0"/>
                <w:color w:val="000000"/>
                <w:sz w:val="21"/>
                <w:szCs w:val="21"/>
                <w:u w:val="none"/>
              </w:rPr>
            </w:pPr>
            <w:r>
              <w:rPr>
                <w:rFonts w:ascii="仿宋_GB2312" w:eastAsia="仿宋_GB2312" w:hAnsi="仿宋_GB2312" w:cs="仿宋_GB2312" w:hint="eastAsia"/>
                <w:i w:val="0"/>
                <w:iCs w:val="0"/>
                <w:color w:val="000000"/>
                <w:kern w:val="0"/>
                <w:sz w:val="21"/>
                <w:szCs w:val="21"/>
                <w:u w:val="none"/>
                <w:lang w:val="en-US" w:eastAsia="zh-CN" w:bidi="ar"/>
              </w:rPr>
              <w:t>用电工程项目批准文件：政府有关部门批准文件、认可文件和者许可证（其中之一），如：投资项目核准文件、投资项目备案文件、立项批复、会议纪要、建设用地规划许可证（含附录）、建设工程规划许可证（含附录）、工程施工许可证复印件、政府预算安排的固定资产投资项目材料等）。</w:t>
            </w:r>
          </w:p>
        </w:tc>
      </w:tr>
      <w:tr>
        <w:tblPrEx>
          <w:tblW w:w="9225" w:type="dxa"/>
          <w:tblInd w:w="0" w:type="dxa"/>
          <w:shd w:val="clear" w:color="auto" w:fill="auto"/>
          <w:tblLayout w:type="fixed"/>
          <w:tblCellMar>
            <w:top w:w="0" w:type="dxa"/>
            <w:left w:w="108" w:type="dxa"/>
            <w:bottom w:w="0" w:type="dxa"/>
            <w:right w:w="108" w:type="dxa"/>
          </w:tblCellMar>
        </w:tblPrEx>
        <w:trPr>
          <w:trHeight w:val="90"/>
        </w:trPr>
        <w:tc>
          <w:tcPr>
            <w:tcW w:w="11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spacing w:line="300" w:lineRule="exact"/>
              <w:jc w:val="center"/>
              <w:rPr>
                <w:rFonts w:ascii="仿宋_GB2312" w:eastAsia="仿宋_GB2312" w:hAnsi="仿宋_GB2312" w:cs="仿宋_GB2312" w:hint="eastAsia"/>
                <w:b/>
                <w:bCs/>
                <w:i w:val="0"/>
                <w:iCs w:val="0"/>
                <w:color w:val="000000"/>
                <w:sz w:val="21"/>
                <w:szCs w:val="21"/>
                <w:u w:val="none"/>
              </w:rPr>
            </w:pPr>
          </w:p>
        </w:tc>
        <w:tc>
          <w:tcPr>
            <w:tcW w:w="8074" w:type="dxa"/>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widowControl/>
              <w:suppressLineNumbers w:val="0"/>
              <w:spacing w:line="300" w:lineRule="exact"/>
              <w:jc w:val="both"/>
              <w:textAlignment w:val="center"/>
              <w:rPr>
                <w:rFonts w:ascii="仿宋_GB2312" w:eastAsia="仿宋_GB2312" w:hAnsi="仿宋_GB2312" w:cs="仿宋_GB2312" w:hint="eastAsia"/>
                <w:i w:val="0"/>
                <w:iCs w:val="0"/>
                <w:color w:val="000000"/>
                <w:sz w:val="21"/>
                <w:szCs w:val="21"/>
                <w:u w:val="none"/>
              </w:rPr>
            </w:pPr>
            <w:r>
              <w:rPr>
                <w:rFonts w:ascii="仿宋_GB2312" w:eastAsia="仿宋_GB2312" w:hAnsi="仿宋_GB2312" w:cs="仿宋_GB2312" w:hint="eastAsia"/>
                <w:i w:val="0"/>
                <w:iCs w:val="0"/>
                <w:color w:val="000000"/>
                <w:kern w:val="0"/>
                <w:sz w:val="21"/>
                <w:szCs w:val="21"/>
                <w:u w:val="none"/>
                <w:lang w:val="en-US" w:eastAsia="zh-CN" w:bidi="ar"/>
              </w:rPr>
              <w:t>政府土地职能管理部门出具相关证明、工程项目批准文件、政府规划文件。</w:t>
            </w:r>
          </w:p>
        </w:tc>
      </w:tr>
    </w:tbl>
    <w:p>
      <w:pPr>
        <w:spacing w:line="300" w:lineRule="exact"/>
        <w:ind w:firstLine="420" w:firstLineChars="200"/>
        <w:rPr>
          <w:rFonts w:ascii="黑体" w:eastAsia="黑体" w:hAnsi="黑体" w:cs="黑体" w:hint="eastAsia"/>
          <w:color w:val="auto"/>
          <w:sz w:val="32"/>
          <w:szCs w:val="32"/>
          <w:lang w:val="en-US" w:eastAsia="zh-CN"/>
        </w:rPr>
        <w:sectPr>
          <w:pgSz w:w="11906" w:h="16838"/>
          <w:pgMar w:top="1440" w:right="1800" w:bottom="1440" w:left="1800" w:header="851" w:footer="992" w:gutter="0"/>
          <w:cols w:num="1" w:space="425"/>
          <w:docGrid w:type="lines" w:linePitch="312" w:charSpace="0"/>
        </w:sectPr>
      </w:pPr>
      <w:r>
        <w:rPr>
          <w:rFonts w:cstheme="minorBidi" w:hint="eastAsia"/>
          <w:b/>
          <w:bCs/>
          <w:color w:val="auto"/>
          <w:sz w:val="21"/>
          <w:szCs w:val="21"/>
          <w:highlight w:val="none"/>
          <w:lang w:val="en-US" w:eastAsia="zh-CN"/>
        </w:rPr>
        <w:t>注：</w:t>
      </w:r>
      <w:r>
        <w:rPr>
          <w:rFonts w:hint="eastAsia"/>
          <w:b/>
          <w:bCs/>
          <w:color w:val="auto"/>
          <w:sz w:val="21"/>
          <w:szCs w:val="21"/>
          <w:highlight w:val="none"/>
        </w:rPr>
        <w:t>如为租赁户，则需同步提供租赁合同等作为产权证明的组成部分。</w:t>
      </w:r>
      <w:r>
        <w:rPr>
          <w:rFonts w:cstheme="minorBidi" w:hint="eastAsia"/>
          <w:b/>
          <w:bCs/>
          <w:color w:val="auto"/>
          <w:sz w:val="21"/>
          <w:szCs w:val="21"/>
          <w:highlight w:val="none"/>
          <w:lang w:val="en-US" w:eastAsia="zh-CN"/>
        </w:rPr>
        <w:t>原用电范围内增容用电（无新加盖建筑物、改建、扩建、改变建筑用途）无需提供用电地址物业权属证明资料。</w:t>
      </w:r>
    </w:p>
    <w:p>
      <w:pPr>
        <w:pStyle w:val="Title"/>
        <w:jc w:val="both"/>
        <w:rPr>
          <w:rFonts w:hint="eastAsia"/>
          <w:b/>
          <w:bCs/>
        </w:rPr>
      </w:pPr>
      <w:r>
        <w:rPr>
          <w:rFonts w:ascii="黑体" w:eastAsia="黑体" w:hAnsi="黑体" w:cs="黑体" w:hint="eastAsia"/>
          <w:color w:val="auto"/>
          <w:sz w:val="32"/>
          <w:szCs w:val="32"/>
          <w:lang w:val="en-US" w:eastAsia="zh-CN"/>
        </w:rPr>
        <w:t>附录2</w:t>
      </w:r>
    </w:p>
    <w:p>
      <w:pPr>
        <w:ind w:firstLine="840" w:firstLineChars="400"/>
        <w:rPr>
          <w:rFonts w:ascii="方正小标宋_GBK" w:eastAsia="方正小标宋_GBK" w:hAnsi="宋体" w:hint="eastAsia"/>
          <w:color w:val="auto"/>
          <w:sz w:val="44"/>
          <w:szCs w:val="44"/>
          <w:highlight w:val="none"/>
        </w:rPr>
      </w:pPr>
      <w:r>
        <w:rPr>
          <w:rFonts w:ascii="方正小标宋_GBK" w:eastAsia="方正小标宋_GBK" w:hAnsi="宋体" w:hint="eastAsia"/>
          <w:color w:val="auto"/>
          <w:sz w:val="44"/>
          <w:szCs w:val="44"/>
          <w:highlight w:val="none"/>
        </w:rPr>
        <w:t>用电业务办理授权（委托）书</w:t>
      </w:r>
    </w:p>
    <w:p>
      <w:pPr>
        <w:keepNext w:val="0"/>
        <w:keepLines w:val="0"/>
        <w:widowControl w:val="0"/>
        <w:suppressLineNumbers w:val="0"/>
        <w:spacing w:before="0" w:beforeAutospacing="0" w:after="0" w:afterAutospacing="0" w:line="600" w:lineRule="exact"/>
        <w:ind w:left="0" w:right="0"/>
        <w:jc w:val="center"/>
        <w:rPr>
          <w:rFonts w:ascii="方正小标宋简体" w:eastAsia="方正小标宋简体" w:hAnsi="方正小标宋简体" w:cs="方正小标宋简体" w:hint="eastAsia"/>
          <w:color w:val="auto"/>
          <w:kern w:val="2"/>
          <w:sz w:val="40"/>
          <w:szCs w:val="40"/>
          <w:highlight w:val="none"/>
        </w:rPr>
      </w:pPr>
      <w:r>
        <w:rPr>
          <w:rFonts w:ascii="方正小标宋简体" w:eastAsia="方正小标宋简体" w:hAnsi="方正小标宋简体" w:cs="方正小标宋简体" w:hint="eastAsia"/>
          <w:color w:val="auto"/>
          <w:kern w:val="2"/>
          <w:sz w:val="40"/>
          <w:szCs w:val="40"/>
          <w:highlight w:val="none"/>
          <w:lang w:val="en-US" w:eastAsia="zh-CN" w:bidi="ar"/>
        </w:rPr>
        <w:t>（参考范本）</w:t>
      </w:r>
    </w:p>
    <w:p>
      <w:pPr>
        <w:ind w:firstLine="420" w:firstLineChars="200"/>
        <w:rPr>
          <w:rFonts w:ascii="宋体" w:hAnsi="宋体"/>
          <w:b/>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仿宋" w:eastAsia="仿宋" w:hAnsi="仿宋"/>
          <w:color w:val="auto"/>
          <w:sz w:val="28"/>
          <w:szCs w:val="28"/>
          <w:highlight w:val="none"/>
        </w:rPr>
      </w:pPr>
      <w:r>
        <w:rPr>
          <w:rFonts w:ascii="仿宋" w:eastAsia="仿宋" w:hAnsi="仿宋" w:hint="eastAsia"/>
          <w:color w:val="auto"/>
          <w:sz w:val="28"/>
          <w:szCs w:val="28"/>
          <w:highlight w:val="none"/>
        </w:rPr>
        <w:t>广西电网有限责任公司XX供电局：</w:t>
      </w:r>
    </w:p>
    <w:p>
      <w:pPr>
        <w:keepNext w:val="0"/>
        <w:keepLines w:val="0"/>
        <w:pageBreakBefore w:val="0"/>
        <w:widowControl w:val="0"/>
        <w:kinsoku/>
        <w:wordWrap/>
        <w:overflowPunct/>
        <w:topLinePunct w:val="0"/>
        <w:autoSpaceDE/>
        <w:autoSpaceDN/>
        <w:bidi w:val="0"/>
        <w:adjustRightInd/>
        <w:snapToGrid/>
        <w:spacing w:line="360" w:lineRule="auto"/>
        <w:ind w:firstLine="525" w:firstLineChars="250"/>
        <w:textAlignment w:val="auto"/>
        <w:outlineLvl w:val="9"/>
        <w:rPr>
          <w:rFonts w:ascii="仿宋" w:eastAsia="仿宋" w:hAnsi="仿宋"/>
          <w:color w:val="auto"/>
          <w:sz w:val="28"/>
          <w:szCs w:val="28"/>
          <w:highlight w:val="none"/>
        </w:rPr>
      </w:pPr>
      <w:r>
        <w:rPr>
          <w:rFonts w:ascii="仿宋" w:eastAsia="仿宋" w:hAnsi="仿宋" w:hint="eastAsia"/>
          <w:color w:val="auto"/>
          <w:sz w:val="28"/>
          <w:szCs w:val="28"/>
          <w:highlight w:val="none"/>
        </w:rPr>
        <w:t>现授权（委托）</w:t>
      </w:r>
      <w:r>
        <w:rPr>
          <w:rFonts w:ascii="仿宋" w:eastAsia="仿宋" w:hAnsi="仿宋" w:hint="eastAsia"/>
          <w:color w:val="auto"/>
          <w:sz w:val="28"/>
          <w:szCs w:val="28"/>
          <w:highlight w:val="none"/>
          <w:u w:val="single"/>
          <w:lang w:val="en-US" w:eastAsia="zh-CN"/>
        </w:rPr>
        <w:t xml:space="preserve">           </w:t>
      </w:r>
      <w:r>
        <w:rPr>
          <w:rFonts w:ascii="仿宋" w:eastAsia="仿宋" w:hAnsi="仿宋" w:hint="eastAsia"/>
          <w:color w:val="auto"/>
          <w:sz w:val="28"/>
          <w:szCs w:val="28"/>
          <w:highlight w:val="none"/>
        </w:rPr>
        <w:t>为本人（本单位）办理用电业务的经办人，代表本人（本单位）办理</w:t>
      </w:r>
      <w:r>
        <w:rPr>
          <w:rFonts w:ascii="仿宋" w:eastAsia="仿宋" w:hAnsi="仿宋" w:hint="eastAsia"/>
          <w:color w:val="auto"/>
          <w:sz w:val="28"/>
          <w:szCs w:val="28"/>
          <w:highlight w:val="none"/>
          <w:u w:val="single"/>
          <w:lang w:val="en-US" w:eastAsia="zh-CN"/>
        </w:rPr>
        <w:t xml:space="preserve">                           </w:t>
      </w:r>
      <w:r>
        <w:rPr>
          <w:rFonts w:ascii="仿宋" w:eastAsia="仿宋" w:hAnsi="仿宋" w:hint="eastAsia"/>
          <w:color w:val="auto"/>
          <w:sz w:val="28"/>
          <w:szCs w:val="28"/>
          <w:highlight w:val="none"/>
        </w:rPr>
        <w:t>用电业务以及与此相关的事宜。</w:t>
      </w:r>
    </w:p>
    <w:p>
      <w:pPr>
        <w:keepNext w:val="0"/>
        <w:keepLines w:val="0"/>
        <w:pageBreakBefore w:val="0"/>
        <w:widowControl w:val="0"/>
        <w:kinsoku/>
        <w:wordWrap/>
        <w:overflowPunct/>
        <w:topLinePunct w:val="0"/>
        <w:autoSpaceDE/>
        <w:autoSpaceDN/>
        <w:bidi w:val="0"/>
        <w:adjustRightInd/>
        <w:snapToGrid/>
        <w:spacing w:line="360" w:lineRule="auto"/>
        <w:ind w:firstLine="645"/>
        <w:textAlignment w:val="auto"/>
        <w:outlineLvl w:val="9"/>
        <w:rPr>
          <w:rFonts w:ascii="仿宋" w:eastAsia="仿宋" w:hAnsi="仿宋"/>
          <w:color w:val="auto"/>
          <w:sz w:val="28"/>
          <w:szCs w:val="28"/>
          <w:highlight w:val="none"/>
        </w:rPr>
      </w:pPr>
      <w:r>
        <w:rPr>
          <w:rFonts w:ascii="仿宋" w:eastAsia="仿宋" w:hAnsi="仿宋" w:hint="eastAsia"/>
          <w:color w:val="auto"/>
          <w:sz w:val="28"/>
          <w:szCs w:val="28"/>
          <w:highlight w:val="none"/>
        </w:rPr>
        <w:t>此授权（委托）书有效期从</w:t>
      </w:r>
      <w:r>
        <w:rPr>
          <w:rFonts w:ascii="仿宋" w:eastAsia="仿宋" w:hAnsi="仿宋" w:hint="eastAsia"/>
          <w:color w:val="auto"/>
          <w:sz w:val="28"/>
          <w:szCs w:val="28"/>
          <w:highlight w:val="none"/>
          <w:u w:val="single"/>
          <w:lang w:val="en-US" w:eastAsia="zh-CN"/>
        </w:rPr>
        <w:t xml:space="preserve">      </w:t>
      </w:r>
      <w:r>
        <w:rPr>
          <w:rFonts w:ascii="仿宋" w:eastAsia="仿宋" w:hAnsi="仿宋" w:hint="eastAsia"/>
          <w:color w:val="auto"/>
          <w:sz w:val="28"/>
          <w:szCs w:val="28"/>
          <w:highlight w:val="none"/>
        </w:rPr>
        <w:t>年</w:t>
      </w:r>
      <w:r>
        <w:rPr>
          <w:rFonts w:ascii="仿宋" w:eastAsia="仿宋" w:hAnsi="仿宋" w:hint="eastAsia"/>
          <w:color w:val="auto"/>
          <w:sz w:val="28"/>
          <w:szCs w:val="28"/>
          <w:highlight w:val="none"/>
          <w:u w:val="single"/>
          <w:lang w:val="en-US" w:eastAsia="zh-CN"/>
        </w:rPr>
        <w:t xml:space="preserve">   </w:t>
      </w:r>
      <w:r>
        <w:rPr>
          <w:rFonts w:ascii="仿宋" w:eastAsia="仿宋" w:hAnsi="仿宋" w:hint="eastAsia"/>
          <w:color w:val="auto"/>
          <w:sz w:val="28"/>
          <w:szCs w:val="28"/>
          <w:highlight w:val="none"/>
        </w:rPr>
        <w:t>月</w:t>
      </w:r>
      <w:r>
        <w:rPr>
          <w:rFonts w:ascii="仿宋" w:eastAsia="仿宋" w:hAnsi="仿宋" w:hint="eastAsia"/>
          <w:color w:val="auto"/>
          <w:sz w:val="28"/>
          <w:szCs w:val="28"/>
          <w:highlight w:val="none"/>
          <w:u w:val="single"/>
          <w:lang w:val="en-US" w:eastAsia="zh-CN"/>
        </w:rPr>
        <w:t xml:space="preserve">   </w:t>
      </w:r>
      <w:r>
        <w:rPr>
          <w:rFonts w:ascii="仿宋" w:eastAsia="仿宋" w:hAnsi="仿宋" w:hint="eastAsia"/>
          <w:color w:val="auto"/>
          <w:sz w:val="28"/>
          <w:szCs w:val="28"/>
          <w:highlight w:val="none"/>
        </w:rPr>
        <w:t>日起至办理用电业务办结之日止。</w:t>
      </w:r>
    </w:p>
    <w:p>
      <w:pPr>
        <w:keepNext w:val="0"/>
        <w:keepLines w:val="0"/>
        <w:pageBreakBefore w:val="0"/>
        <w:widowControl w:val="0"/>
        <w:kinsoku/>
        <w:wordWrap/>
        <w:overflowPunct/>
        <w:topLinePunct w:val="0"/>
        <w:autoSpaceDE/>
        <w:autoSpaceDN/>
        <w:bidi w:val="0"/>
        <w:adjustRightInd/>
        <w:snapToGrid/>
        <w:spacing w:line="360" w:lineRule="auto"/>
        <w:ind w:firstLine="645"/>
        <w:textAlignment w:val="auto"/>
        <w:outlineLvl w:val="9"/>
        <w:rPr>
          <w:rFonts w:ascii="仿宋" w:eastAsia="仿宋" w:hAnsi="仿宋"/>
          <w:b/>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645"/>
        <w:textAlignment w:val="auto"/>
        <w:outlineLvl w:val="9"/>
        <w:rPr>
          <w:rFonts w:ascii="仿宋" w:eastAsia="仿宋" w:hAnsi="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outlineLvl w:val="9"/>
        <w:rPr>
          <w:rFonts w:ascii="仿宋" w:eastAsia="仿宋" w:hAnsi="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645"/>
        <w:textAlignment w:val="auto"/>
        <w:outlineLvl w:val="9"/>
        <w:rPr>
          <w:rFonts w:ascii="仿宋" w:eastAsia="仿宋" w:hAnsi="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outlineLvl w:val="9"/>
        <w:rPr>
          <w:rFonts w:ascii="仿宋" w:eastAsia="仿宋" w:hAnsi="仿宋"/>
          <w:color w:val="auto"/>
          <w:sz w:val="28"/>
          <w:szCs w:val="28"/>
          <w:highlight w:val="none"/>
        </w:rPr>
      </w:pPr>
      <w:r>
        <w:rPr>
          <w:rFonts w:ascii="仿宋" w:eastAsia="仿宋" w:hAnsi="仿宋" w:hint="eastAsia"/>
          <w:color w:val="auto"/>
          <w:sz w:val="28"/>
          <w:szCs w:val="28"/>
          <w:highlight w:val="none"/>
        </w:rPr>
        <w:t>授权方（盖章）：             被授（委托）人签字：</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outlineLvl w:val="9"/>
        <w:rPr>
          <w:rFonts w:ascii="仿宋" w:eastAsia="仿宋" w:hAnsi="仿宋" w:hint="eastAsia"/>
          <w:color w:val="auto"/>
          <w:sz w:val="28"/>
          <w:szCs w:val="28"/>
          <w:highlight w:val="none"/>
          <w:lang w:eastAsia="zh-CN"/>
        </w:rPr>
      </w:pPr>
      <w:r>
        <w:rPr>
          <w:rFonts w:ascii="仿宋" w:eastAsia="仿宋" w:hAnsi="仿宋" w:hint="eastAsia"/>
          <w:color w:val="auto"/>
          <w:sz w:val="28"/>
          <w:szCs w:val="28"/>
          <w:highlight w:val="none"/>
        </w:rPr>
        <w:t xml:space="preserve">法人代表：                 </w:t>
      </w:r>
      <w:r>
        <w:rPr>
          <w:rFonts w:ascii="仿宋" w:eastAsia="仿宋" w:hAnsi="仿宋" w:hint="eastAsia"/>
          <w:color w:val="auto"/>
          <w:sz w:val="28"/>
          <w:szCs w:val="28"/>
          <w:highlight w:val="none"/>
          <w:lang w:val="en-US" w:eastAsia="zh-CN"/>
        </w:rPr>
        <w:t xml:space="preserve">  </w:t>
      </w:r>
      <w:r>
        <w:rPr>
          <w:rFonts w:ascii="仿宋" w:eastAsia="仿宋" w:hAnsi="仿宋" w:hint="eastAsia"/>
          <w:color w:val="auto"/>
          <w:sz w:val="28"/>
          <w:szCs w:val="28"/>
          <w:highlight w:val="none"/>
        </w:rPr>
        <w:t>被授（委托）人</w:t>
      </w:r>
      <w:r>
        <w:rPr>
          <w:rFonts w:ascii="仿宋" w:eastAsia="仿宋" w:hAnsi="仿宋" w:hint="eastAsia"/>
          <w:color w:val="auto"/>
          <w:sz w:val="28"/>
          <w:szCs w:val="28"/>
          <w:highlight w:val="none"/>
          <w:lang w:eastAsia="zh-CN"/>
        </w:rPr>
        <w:t>电话：</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outlineLvl w:val="9"/>
        <w:rPr>
          <w:rFonts w:ascii="仿宋" w:eastAsia="仿宋" w:hAnsi="仿宋"/>
          <w:color w:val="auto"/>
          <w:sz w:val="28"/>
          <w:szCs w:val="28"/>
          <w:highlight w:val="none"/>
        </w:rPr>
      </w:pPr>
      <w:r>
        <w:rPr>
          <w:rFonts w:ascii="仿宋" w:eastAsia="仿宋" w:hAnsi="仿宋" w:hint="eastAsia"/>
          <w:color w:val="auto"/>
          <w:sz w:val="28"/>
          <w:szCs w:val="28"/>
          <w:highlight w:val="none"/>
        </w:rPr>
        <w:t>法人身份证号：               身份证号：</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outlineLvl w:val="9"/>
        <w:rPr>
          <w:rFonts w:ascii="仿宋" w:eastAsia="仿宋" w:hAnsi="仿宋"/>
          <w:color w:val="auto"/>
          <w:sz w:val="28"/>
          <w:szCs w:val="28"/>
          <w:highlight w:val="none"/>
        </w:rPr>
      </w:pPr>
      <w:r>
        <w:rPr>
          <w:rFonts w:ascii="仿宋" w:eastAsia="仿宋" w:hAnsi="仿宋" w:hint="eastAsia"/>
          <w:color w:val="auto"/>
          <w:sz w:val="28"/>
          <w:szCs w:val="28"/>
          <w:highlight w:val="none"/>
        </w:rPr>
        <w:t>日期：</w:t>
      </w:r>
      <w:r>
        <w:rPr>
          <w:rFonts w:ascii="仿宋" w:eastAsia="仿宋" w:hAnsi="仿宋" w:hint="eastAsia"/>
          <w:color w:val="auto"/>
          <w:sz w:val="28"/>
          <w:szCs w:val="28"/>
          <w:highlight w:val="none"/>
          <w:lang w:val="en-US" w:eastAsia="zh-CN"/>
        </w:rPr>
        <w:t xml:space="preserve">   </w:t>
      </w:r>
      <w:r>
        <w:rPr>
          <w:rFonts w:ascii="仿宋" w:eastAsia="仿宋" w:hAnsi="仿宋" w:hint="eastAsia"/>
          <w:color w:val="auto"/>
          <w:sz w:val="28"/>
          <w:szCs w:val="28"/>
          <w:highlight w:val="none"/>
        </w:rPr>
        <w:t>年</w:t>
      </w:r>
      <w:r>
        <w:rPr>
          <w:rFonts w:ascii="仿宋" w:eastAsia="仿宋" w:hAnsi="仿宋" w:hint="eastAsia"/>
          <w:color w:val="auto"/>
          <w:sz w:val="28"/>
          <w:szCs w:val="28"/>
          <w:highlight w:val="none"/>
          <w:lang w:val="en-US" w:eastAsia="zh-CN"/>
        </w:rPr>
        <w:t xml:space="preserve">   </w:t>
      </w:r>
      <w:r>
        <w:rPr>
          <w:rFonts w:ascii="仿宋" w:eastAsia="仿宋" w:hAnsi="仿宋" w:hint="eastAsia"/>
          <w:color w:val="auto"/>
          <w:sz w:val="28"/>
          <w:szCs w:val="28"/>
          <w:highlight w:val="none"/>
        </w:rPr>
        <w:t>月</w:t>
      </w:r>
      <w:r>
        <w:rPr>
          <w:rFonts w:ascii="仿宋" w:eastAsia="仿宋" w:hAnsi="仿宋" w:hint="eastAsia"/>
          <w:color w:val="auto"/>
          <w:sz w:val="28"/>
          <w:szCs w:val="28"/>
          <w:highlight w:val="none"/>
          <w:lang w:val="en-US" w:eastAsia="zh-CN"/>
        </w:rPr>
        <w:t xml:space="preserve">   </w:t>
      </w:r>
      <w:r>
        <w:rPr>
          <w:rFonts w:ascii="仿宋" w:eastAsia="仿宋" w:hAnsi="仿宋" w:hint="eastAsia"/>
          <w:color w:val="auto"/>
          <w:sz w:val="28"/>
          <w:szCs w:val="28"/>
          <w:highlight w:val="none"/>
        </w:rPr>
        <w:t xml:space="preserve">日     </w:t>
      </w:r>
      <w:r>
        <w:rPr>
          <w:rFonts w:ascii="仿宋" w:eastAsia="仿宋" w:hAnsi="仿宋" w:hint="eastAsia"/>
          <w:color w:val="auto"/>
          <w:sz w:val="28"/>
          <w:szCs w:val="28"/>
          <w:highlight w:val="none"/>
          <w:lang w:val="en-US" w:eastAsia="zh-CN"/>
        </w:rPr>
        <w:t xml:space="preserve">   </w:t>
      </w:r>
      <w:r>
        <w:rPr>
          <w:rFonts w:ascii="仿宋" w:eastAsia="仿宋" w:hAnsi="仿宋" w:hint="eastAsia"/>
          <w:color w:val="auto"/>
          <w:sz w:val="28"/>
          <w:szCs w:val="28"/>
          <w:highlight w:val="none"/>
        </w:rPr>
        <w:t>日期：</w:t>
      </w:r>
      <w:r>
        <w:rPr>
          <w:rFonts w:ascii="仿宋" w:eastAsia="仿宋" w:hAnsi="仿宋" w:hint="eastAsia"/>
          <w:color w:val="auto"/>
          <w:sz w:val="28"/>
          <w:szCs w:val="28"/>
          <w:highlight w:val="none"/>
          <w:lang w:val="en-US" w:eastAsia="zh-CN"/>
        </w:rPr>
        <w:t xml:space="preserve">   </w:t>
      </w:r>
      <w:r>
        <w:rPr>
          <w:rFonts w:ascii="仿宋" w:eastAsia="仿宋" w:hAnsi="仿宋" w:hint="eastAsia"/>
          <w:color w:val="auto"/>
          <w:sz w:val="28"/>
          <w:szCs w:val="28"/>
          <w:highlight w:val="none"/>
        </w:rPr>
        <w:t>年</w:t>
      </w:r>
      <w:r>
        <w:rPr>
          <w:rFonts w:ascii="仿宋" w:eastAsia="仿宋" w:hAnsi="仿宋" w:hint="eastAsia"/>
          <w:color w:val="auto"/>
          <w:sz w:val="28"/>
          <w:szCs w:val="28"/>
          <w:highlight w:val="none"/>
          <w:lang w:val="en-US" w:eastAsia="zh-CN"/>
        </w:rPr>
        <w:t xml:space="preserve">   </w:t>
      </w:r>
      <w:r>
        <w:rPr>
          <w:rFonts w:ascii="仿宋" w:eastAsia="仿宋" w:hAnsi="仿宋" w:hint="eastAsia"/>
          <w:color w:val="auto"/>
          <w:sz w:val="28"/>
          <w:szCs w:val="28"/>
          <w:highlight w:val="none"/>
        </w:rPr>
        <w:t>月</w:t>
      </w:r>
      <w:r>
        <w:rPr>
          <w:rFonts w:ascii="仿宋" w:eastAsia="仿宋" w:hAnsi="仿宋" w:hint="eastAsia"/>
          <w:color w:val="auto"/>
          <w:sz w:val="28"/>
          <w:szCs w:val="28"/>
          <w:highlight w:val="none"/>
          <w:lang w:val="en-US" w:eastAsia="zh-CN"/>
        </w:rPr>
        <w:t xml:space="preserve">   </w:t>
      </w:r>
      <w:r>
        <w:rPr>
          <w:rFonts w:ascii="仿宋" w:eastAsia="仿宋" w:hAnsi="仿宋" w:hint="eastAsia"/>
          <w:color w:val="auto"/>
          <w:sz w:val="28"/>
          <w:szCs w:val="28"/>
          <w:highlight w:val="none"/>
        </w:rPr>
        <w:t>日</w:t>
      </w:r>
    </w:p>
    <w:p/>
    <w:p/>
    <w:p/>
    <w:p/>
    <w:p/>
    <w:p/>
    <w:p>
      <w:pPr>
        <w:snapToGrid w:val="0"/>
        <w:spacing w:line="580" w:lineRule="exact"/>
        <w:ind w:firstLine="420" w:firstLineChars="200"/>
        <w:jc w:val="center"/>
        <w:rPr>
          <w:rFonts w:ascii="ˎ̥" w:hAnsi="ˎ̥"/>
          <w:b/>
          <w:bCs/>
          <w:sz w:val="32"/>
          <w:szCs w:val="32"/>
        </w:rPr>
        <w:sectPr>
          <w:pgSz w:w="11906" w:h="16838"/>
          <w:pgMar w:top="1440" w:right="1800" w:bottom="1440" w:left="1800" w:header="851" w:footer="992" w:gutter="0"/>
          <w:cols w:num="1" w:space="425"/>
          <w:docGrid w:type="lines" w:linePitch="312" w:charSpace="0"/>
        </w:sectPr>
      </w:pPr>
    </w:p>
    <w:p>
      <w:pPr>
        <w:pStyle w:val="Title"/>
        <w:jc w:val="both"/>
        <w:rPr>
          <w:rFonts w:ascii="黑体" w:eastAsia="黑体" w:hAnsi="黑体" w:cs="黑体" w:hint="default"/>
          <w:color w:val="auto"/>
          <w:sz w:val="32"/>
          <w:szCs w:val="32"/>
          <w:lang w:val="en-US" w:eastAsia="zh-CN"/>
        </w:rPr>
      </w:pPr>
      <w:r>
        <w:rPr>
          <w:rFonts w:ascii="黑体" w:eastAsia="黑体" w:hAnsi="黑体" w:cs="黑体" w:hint="eastAsia"/>
          <w:color w:val="auto"/>
          <w:sz w:val="32"/>
          <w:szCs w:val="32"/>
          <w:lang w:val="en-US" w:eastAsia="zh-CN"/>
        </w:rPr>
        <w:t>附录3</w:t>
      </w:r>
    </w:p>
    <w:p>
      <w:pPr>
        <w:spacing w:line="580" w:lineRule="exact"/>
        <w:jc w:val="center"/>
        <w:rPr>
          <w:rFonts w:ascii="黑体" w:eastAsia="黑体" w:hAnsi="黑体" w:cs="黑体" w:hint="eastAsia"/>
          <w:color w:val="000000"/>
          <w:sz w:val="44"/>
          <w:szCs w:val="44"/>
        </w:rPr>
      </w:pPr>
    </w:p>
    <w:p>
      <w:pPr>
        <w:spacing w:line="580" w:lineRule="exact"/>
        <w:ind w:firstLine="420" w:firstLineChars="200"/>
        <w:jc w:val="center"/>
        <w:rPr>
          <w:rFonts w:ascii="仿宋_GB2312" w:eastAsia="方正小标宋_GBK" w:hAnsi="仿宋_GB2312" w:cs="仿宋_GB2312" w:hint="eastAsia"/>
          <w:sz w:val="32"/>
          <w:szCs w:val="32"/>
          <w:lang w:eastAsia="zh-CN"/>
        </w:rPr>
      </w:pPr>
      <w:r>
        <w:rPr>
          <w:rFonts w:ascii="方正小标宋_GBK" w:eastAsia="方正小标宋_GBK" w:hAnsi="宋体" w:hint="eastAsia"/>
          <w:color w:val="auto"/>
          <w:sz w:val="44"/>
          <w:szCs w:val="44"/>
          <w:highlight w:val="none"/>
        </w:rPr>
        <w:t>计量用</w:t>
      </w:r>
      <w:r>
        <w:rPr>
          <w:rFonts w:ascii="方正小标宋_GBK" w:eastAsia="方正小标宋_GBK" w:hAnsi="宋体" w:hint="eastAsia"/>
          <w:color w:val="auto"/>
          <w:sz w:val="44"/>
          <w:szCs w:val="44"/>
          <w:highlight w:val="none"/>
          <w:lang w:eastAsia="zh-CN"/>
        </w:rPr>
        <w:t>高压</w:t>
      </w:r>
      <w:r>
        <w:rPr>
          <w:rFonts w:ascii="方正小标宋_GBK" w:eastAsia="方正小标宋_GBK" w:hAnsi="宋体" w:hint="eastAsia"/>
          <w:color w:val="auto"/>
          <w:sz w:val="44"/>
          <w:szCs w:val="44"/>
          <w:highlight w:val="none"/>
        </w:rPr>
        <w:t>互感器</w:t>
      </w:r>
      <w:r>
        <w:rPr>
          <w:rFonts w:ascii="方正小标宋_GBK" w:eastAsia="方正小标宋_GBK" w:hAnsi="宋体" w:hint="eastAsia"/>
          <w:color w:val="auto"/>
          <w:sz w:val="44"/>
          <w:szCs w:val="44"/>
          <w:highlight w:val="none"/>
          <w:lang w:eastAsia="zh-CN"/>
        </w:rPr>
        <w:t>尺寸</w:t>
      </w:r>
    </w:p>
    <w:p>
      <w:pPr>
        <w:pStyle w:val="yq1"/>
        <w:numPr>
          <w:ilvl w:val="0"/>
          <w:numId w:val="0"/>
        </w:numPr>
        <w:adjustRightInd w:val="0"/>
        <w:snapToGrid w:val="0"/>
        <w:spacing w:line="240" w:lineRule="auto"/>
        <w:jc w:val="center"/>
        <w:rPr>
          <w:rFonts w:ascii="Times New Roman" w:hAnsi="Times New Roman" w:cs="Times New Roman" w:hint="eastAsia"/>
          <w:b w:val="0"/>
          <w:sz w:val="32"/>
          <w:szCs w:val="32"/>
        </w:rPr>
      </w:pPr>
      <w:bookmarkStart w:id="1" w:name="_Toc8776"/>
      <w:bookmarkStart w:id="2" w:name="_Toc30760"/>
      <w:bookmarkStart w:id="3" w:name="_Toc19828"/>
    </w:p>
    <w:p>
      <w:pPr>
        <w:pStyle w:val="yq1"/>
        <w:pageBreakBefore w:val="0"/>
        <w:widowControl/>
        <w:numPr>
          <w:ilvl w:val="0"/>
          <w:numId w:val="0"/>
        </w:numPr>
        <w:kinsoku/>
        <w:topLinePunct w:val="0"/>
        <w:autoSpaceDN/>
        <w:bidi w:val="0"/>
        <w:adjustRightInd w:val="0"/>
        <w:snapToGrid w:val="0"/>
        <w:spacing w:line="560" w:lineRule="exact"/>
        <w:jc w:val="both"/>
        <w:rPr>
          <w:rFonts w:ascii="Times New Roman" w:hAnsi="Times New Roman" w:cs="Times New Roman"/>
          <w:b w:val="0"/>
          <w:sz w:val="32"/>
          <w:szCs w:val="32"/>
        </w:rPr>
      </w:pPr>
      <w:bookmarkEnd w:id="1"/>
      <w:bookmarkEnd w:id="2"/>
      <w:bookmarkEnd w:id="3"/>
      <w:r>
        <w:rPr>
          <w:rFonts w:ascii="Times New Roman" w:hAnsi="Times New Roman" w:cs="Times New Roman" w:hint="eastAsia"/>
          <w:b w:val="0"/>
          <w:sz w:val="32"/>
          <w:szCs w:val="32"/>
          <w:lang w:eastAsia="zh-CN"/>
        </w:rPr>
        <w:t>一、</w:t>
      </w:r>
      <w:r>
        <w:rPr>
          <w:rFonts w:ascii="Times New Roman" w:hAnsi="Times New Roman" w:cs="Times New Roman" w:hint="eastAsia"/>
          <w:b w:val="0"/>
          <w:sz w:val="32"/>
          <w:szCs w:val="32"/>
        </w:rPr>
        <w:t>10kV计量用电压互感器</w:t>
      </w:r>
      <w:r>
        <w:rPr>
          <w:rFonts w:ascii="Times New Roman" w:hAnsi="Times New Roman" w:cs="Times New Roman"/>
          <w:b w:val="0"/>
          <w:sz w:val="32"/>
          <w:szCs w:val="32"/>
        </w:rPr>
        <w:t>外形尺寸图</w:t>
      </w:r>
    </w:p>
    <w:p>
      <w:pPr>
        <w:pStyle w:val="a"/>
        <w:pageBreakBefore w:val="0"/>
        <w:widowControl/>
        <w:numPr>
          <w:ilvl w:val="0"/>
          <w:numId w:val="0"/>
        </w:numPr>
        <w:kinsoku/>
        <w:topLinePunct w:val="0"/>
        <w:autoSpaceDN/>
        <w:bidi w:val="0"/>
        <w:adjustRightInd w:val="0"/>
        <w:snapToGrid w:val="0"/>
        <w:spacing w:beforeLines="0" w:afterLines="0" w:line="560" w:lineRule="exact"/>
        <w:rPr>
          <w:rFonts w:ascii="楷体_GB2312" w:eastAsia="楷体_GB2312" w:hAnsi="楷体_GB2312" w:cs="楷体_GB2312" w:hint="eastAsia"/>
          <w:b w:val="0"/>
          <w:bCs/>
          <w:sz w:val="32"/>
          <w:szCs w:val="32"/>
        </w:rPr>
      </w:pPr>
      <w:r>
        <w:rPr>
          <w:rFonts w:ascii="楷体_GB2312" w:eastAsia="楷体_GB2312" w:hAnsi="楷体_GB2312" w:cs="楷体_GB2312" w:hint="eastAsia"/>
          <w:b w:val="0"/>
          <w:bCs/>
          <w:sz w:val="32"/>
          <w:szCs w:val="32"/>
          <w:lang w:val="en-US" w:eastAsia="zh-CN"/>
        </w:rPr>
        <w:t>（一）</w:t>
      </w:r>
      <w:r>
        <w:rPr>
          <w:rFonts w:ascii="楷体_GB2312" w:eastAsia="楷体_GB2312" w:hAnsi="楷体_GB2312" w:cs="楷体_GB2312" w:hint="eastAsia"/>
          <w:b w:val="0"/>
          <w:bCs/>
          <w:sz w:val="32"/>
          <w:szCs w:val="32"/>
        </w:rPr>
        <w:t>10kV计量用电压互感器外形图</w:t>
      </w:r>
    </w:p>
    <w:p>
      <w:pPr>
        <w:pStyle w:val="a0"/>
        <w:adjustRightInd w:val="0"/>
        <w:snapToGrid w:val="0"/>
        <w:ind w:firstLine="0" w:firstLineChars="0"/>
        <w:jc w:val="center"/>
        <w:rPr>
          <w:rFonts w:ascii="Times New Roman"/>
        </w:rPr>
      </w:pPr>
      <w:r>
        <w:rPr>
          <w:rFonts w:ascii="Times New Roman"/>
        </w:rPr>
        <w:drawing>
          <wp:inline distT="0" distB="0" distL="114300" distR="114300">
            <wp:extent cx="5522595" cy="3639820"/>
            <wp:effectExtent l="0" t="0" r="190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xmlns:r="http://schemas.openxmlformats.org/officeDocument/2006/relationships" r:embed="rId9"/>
                    <a:stretch>
                      <a:fillRect/>
                    </a:stretch>
                  </pic:blipFill>
                  <pic:spPr>
                    <a:xfrm>
                      <a:off x="0" y="0"/>
                      <a:ext cx="5522595" cy="3639820"/>
                    </a:xfrm>
                    <a:prstGeom prst="rect">
                      <a:avLst/>
                    </a:prstGeom>
                    <a:noFill/>
                    <a:ln>
                      <a:noFill/>
                    </a:ln>
                  </pic:spPr>
                </pic:pic>
              </a:graphicData>
            </a:graphic>
          </wp:inline>
        </w:drawing>
      </w:r>
    </w:p>
    <w:p>
      <w:pPr>
        <w:pStyle w:val="a"/>
        <w:pageBreakBefore w:val="0"/>
        <w:widowControl/>
        <w:numPr>
          <w:ilvl w:val="0"/>
          <w:numId w:val="0"/>
        </w:numPr>
        <w:kinsoku/>
        <w:topLinePunct w:val="0"/>
        <w:autoSpaceDN/>
        <w:bidi w:val="0"/>
        <w:adjustRightInd w:val="0"/>
        <w:snapToGrid w:val="0"/>
        <w:spacing w:beforeLines="0" w:afterLines="0" w:line="560" w:lineRule="exact"/>
        <w:rPr>
          <w:rFonts w:ascii="楷体_GB2312" w:eastAsia="楷体_GB2312" w:hAnsi="楷体_GB2312" w:cs="楷体_GB2312" w:hint="eastAsia"/>
          <w:b w:val="0"/>
          <w:bCs/>
          <w:sz w:val="32"/>
          <w:szCs w:val="32"/>
          <w:lang w:val="en-US" w:eastAsia="zh-CN"/>
        </w:rPr>
      </w:pPr>
    </w:p>
    <w:p>
      <w:pPr>
        <w:pStyle w:val="a"/>
        <w:pageBreakBefore w:val="0"/>
        <w:widowControl/>
        <w:numPr>
          <w:ilvl w:val="0"/>
          <w:numId w:val="0"/>
        </w:numPr>
        <w:kinsoku/>
        <w:topLinePunct w:val="0"/>
        <w:autoSpaceDN/>
        <w:bidi w:val="0"/>
        <w:adjustRightInd w:val="0"/>
        <w:snapToGrid w:val="0"/>
        <w:spacing w:beforeLines="0" w:afterLines="0" w:line="560" w:lineRule="exact"/>
        <w:rPr>
          <w:rFonts w:ascii="楷体_GB2312" w:eastAsia="楷体_GB2312" w:hAnsi="楷体_GB2312" w:cs="楷体_GB2312" w:hint="eastAsia"/>
          <w:b w:val="0"/>
          <w:bCs/>
          <w:sz w:val="32"/>
          <w:szCs w:val="32"/>
          <w:lang w:val="en-US" w:eastAsia="zh-CN"/>
        </w:rPr>
      </w:pPr>
    </w:p>
    <w:p>
      <w:pPr>
        <w:pStyle w:val="a"/>
        <w:pageBreakBefore w:val="0"/>
        <w:widowControl/>
        <w:numPr>
          <w:ilvl w:val="0"/>
          <w:numId w:val="0"/>
        </w:numPr>
        <w:kinsoku/>
        <w:topLinePunct w:val="0"/>
        <w:autoSpaceDN/>
        <w:bidi w:val="0"/>
        <w:adjustRightInd w:val="0"/>
        <w:snapToGrid w:val="0"/>
        <w:spacing w:beforeLines="0" w:afterLines="0" w:line="560" w:lineRule="exact"/>
        <w:rPr>
          <w:rFonts w:ascii="楷体_GB2312" w:eastAsia="楷体_GB2312" w:hAnsi="楷体_GB2312" w:cs="楷体_GB2312" w:hint="eastAsia"/>
          <w:b w:val="0"/>
          <w:bCs/>
          <w:sz w:val="32"/>
          <w:szCs w:val="32"/>
          <w:lang w:val="en-US" w:eastAsia="zh-CN"/>
        </w:rPr>
      </w:pPr>
    </w:p>
    <w:p>
      <w:pPr>
        <w:pStyle w:val="a"/>
        <w:pageBreakBefore w:val="0"/>
        <w:widowControl/>
        <w:numPr>
          <w:ilvl w:val="0"/>
          <w:numId w:val="0"/>
        </w:numPr>
        <w:kinsoku/>
        <w:topLinePunct w:val="0"/>
        <w:autoSpaceDN/>
        <w:bidi w:val="0"/>
        <w:adjustRightInd w:val="0"/>
        <w:snapToGrid w:val="0"/>
        <w:spacing w:beforeLines="0" w:afterLines="0" w:line="560" w:lineRule="exact"/>
        <w:rPr>
          <w:rFonts w:ascii="楷体_GB2312" w:eastAsia="楷体_GB2312" w:hAnsi="楷体_GB2312" w:cs="楷体_GB2312" w:hint="eastAsia"/>
          <w:b w:val="0"/>
          <w:bCs/>
          <w:sz w:val="32"/>
          <w:szCs w:val="32"/>
          <w:lang w:val="en-US" w:eastAsia="zh-CN"/>
        </w:rPr>
      </w:pPr>
    </w:p>
    <w:p>
      <w:pPr>
        <w:pStyle w:val="a"/>
        <w:pageBreakBefore w:val="0"/>
        <w:widowControl/>
        <w:numPr>
          <w:ilvl w:val="0"/>
          <w:numId w:val="0"/>
        </w:numPr>
        <w:kinsoku/>
        <w:topLinePunct w:val="0"/>
        <w:autoSpaceDN/>
        <w:bidi w:val="0"/>
        <w:adjustRightInd w:val="0"/>
        <w:snapToGrid w:val="0"/>
        <w:spacing w:beforeLines="0" w:afterLines="0" w:line="560" w:lineRule="exact"/>
        <w:rPr>
          <w:rFonts w:ascii="楷体_GB2312" w:eastAsia="楷体_GB2312" w:hAnsi="楷体_GB2312" w:cs="楷体_GB2312" w:hint="eastAsia"/>
          <w:b w:val="0"/>
          <w:bCs/>
          <w:sz w:val="32"/>
          <w:szCs w:val="32"/>
          <w:lang w:val="en-US" w:eastAsia="zh-CN"/>
        </w:rPr>
      </w:pPr>
    </w:p>
    <w:p>
      <w:pPr>
        <w:pStyle w:val="a"/>
        <w:pageBreakBefore w:val="0"/>
        <w:widowControl/>
        <w:numPr>
          <w:ilvl w:val="0"/>
          <w:numId w:val="0"/>
        </w:numPr>
        <w:kinsoku/>
        <w:topLinePunct w:val="0"/>
        <w:autoSpaceDN/>
        <w:bidi w:val="0"/>
        <w:adjustRightInd w:val="0"/>
        <w:snapToGrid w:val="0"/>
        <w:spacing w:beforeLines="0" w:afterLines="0" w:line="560" w:lineRule="exact"/>
        <w:rPr>
          <w:rFonts w:ascii="楷体_GB2312" w:eastAsia="楷体_GB2312" w:hAnsi="楷体_GB2312" w:cs="楷体_GB2312" w:hint="eastAsia"/>
          <w:b w:val="0"/>
          <w:bCs/>
          <w:sz w:val="32"/>
          <w:szCs w:val="32"/>
          <w:lang w:val="en-US" w:eastAsia="zh-CN"/>
        </w:rPr>
      </w:pPr>
    </w:p>
    <w:p>
      <w:pPr>
        <w:pStyle w:val="a"/>
        <w:pageBreakBefore w:val="0"/>
        <w:widowControl/>
        <w:numPr>
          <w:ilvl w:val="0"/>
          <w:numId w:val="0"/>
        </w:numPr>
        <w:kinsoku/>
        <w:topLinePunct w:val="0"/>
        <w:autoSpaceDN/>
        <w:bidi w:val="0"/>
        <w:adjustRightInd w:val="0"/>
        <w:snapToGrid w:val="0"/>
        <w:spacing w:beforeLines="0" w:afterLines="0" w:line="560" w:lineRule="exact"/>
        <w:rPr>
          <w:rFonts w:ascii="楷体_GB2312" w:eastAsia="楷体_GB2312" w:hAnsi="楷体_GB2312" w:cs="楷体_GB2312" w:hint="eastAsia"/>
          <w:b w:val="0"/>
          <w:bCs/>
          <w:sz w:val="32"/>
          <w:szCs w:val="32"/>
          <w:lang w:val="en-US" w:eastAsia="zh-CN"/>
        </w:rPr>
      </w:pPr>
    </w:p>
    <w:p>
      <w:pPr>
        <w:pStyle w:val="a"/>
        <w:pageBreakBefore w:val="0"/>
        <w:widowControl/>
        <w:numPr>
          <w:ilvl w:val="0"/>
          <w:numId w:val="0"/>
        </w:numPr>
        <w:kinsoku/>
        <w:topLinePunct w:val="0"/>
        <w:autoSpaceDN/>
        <w:bidi w:val="0"/>
        <w:adjustRightInd w:val="0"/>
        <w:snapToGrid w:val="0"/>
        <w:spacing w:beforeLines="0" w:afterLines="0" w:line="560" w:lineRule="exact"/>
        <w:rPr>
          <w:rFonts w:ascii="楷体_GB2312" w:eastAsia="楷体_GB2312" w:hAnsi="楷体_GB2312" w:cs="楷体_GB2312" w:hint="eastAsia"/>
          <w:b w:val="0"/>
          <w:bCs/>
          <w:sz w:val="32"/>
          <w:szCs w:val="32"/>
          <w:lang w:val="en-US" w:eastAsia="zh-CN"/>
        </w:rPr>
      </w:pPr>
    </w:p>
    <w:p>
      <w:pPr>
        <w:pStyle w:val="a"/>
        <w:pageBreakBefore w:val="0"/>
        <w:widowControl/>
        <w:numPr>
          <w:ilvl w:val="0"/>
          <w:numId w:val="0"/>
        </w:numPr>
        <w:kinsoku/>
        <w:topLinePunct w:val="0"/>
        <w:autoSpaceDN/>
        <w:bidi w:val="0"/>
        <w:adjustRightInd w:val="0"/>
        <w:snapToGrid w:val="0"/>
        <w:spacing w:beforeLines="0" w:afterLines="0" w:line="560" w:lineRule="exact"/>
        <w:rPr>
          <w:rFonts w:ascii="楷体_GB2312" w:eastAsia="楷体_GB2312" w:hAnsi="楷体_GB2312" w:cs="楷体_GB2312" w:hint="eastAsia"/>
          <w:b w:val="0"/>
          <w:bCs/>
          <w:sz w:val="32"/>
          <w:szCs w:val="32"/>
          <w:lang w:val="en-US" w:eastAsia="zh-CN"/>
        </w:rPr>
      </w:pPr>
      <w:r>
        <w:rPr>
          <w:rFonts w:ascii="楷体_GB2312" w:eastAsia="楷体_GB2312" w:hAnsi="楷体_GB2312" w:cs="楷体_GB2312" w:hint="eastAsia"/>
          <w:b w:val="0"/>
          <w:bCs/>
          <w:sz w:val="32"/>
          <w:szCs w:val="32"/>
          <w:lang w:val="en-US" w:eastAsia="zh-CN"/>
        </w:rPr>
        <w:t>（二）10kV计量用电压互感器浇注图</w:t>
      </w:r>
    </w:p>
    <w:p>
      <w:pPr>
        <w:pStyle w:val="a0"/>
        <w:adjustRightInd w:val="0"/>
        <w:snapToGrid w:val="0"/>
        <w:ind w:firstLine="0" w:firstLineChars="0"/>
        <w:jc w:val="center"/>
        <w:rPr>
          <w:rFonts w:ascii="Times New Roman"/>
        </w:rPr>
      </w:pPr>
      <w:r>
        <w:rPr>
          <w:rFonts w:ascii="Times New Roman"/>
        </w:rPr>
        <w:drawing>
          <wp:inline distT="0" distB="0" distL="114300" distR="114300">
            <wp:extent cx="5514975" cy="3562985"/>
            <wp:effectExtent l="0" t="0" r="952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xmlns:r="http://schemas.openxmlformats.org/officeDocument/2006/relationships" r:embed="rId10"/>
                    <a:stretch>
                      <a:fillRect/>
                    </a:stretch>
                  </pic:blipFill>
                  <pic:spPr>
                    <a:xfrm>
                      <a:off x="0" y="0"/>
                      <a:ext cx="5514975" cy="3562985"/>
                    </a:xfrm>
                    <a:prstGeom prst="rect">
                      <a:avLst/>
                    </a:prstGeom>
                    <a:noFill/>
                    <a:ln>
                      <a:noFill/>
                    </a:ln>
                  </pic:spPr>
                </pic:pic>
              </a:graphicData>
            </a:graphic>
          </wp:inline>
        </w:drawing>
      </w:r>
    </w:p>
    <w:p>
      <w:pPr>
        <w:pStyle w:val="a"/>
        <w:pageBreakBefore w:val="0"/>
        <w:widowControl/>
        <w:numPr>
          <w:ilvl w:val="0"/>
          <w:numId w:val="0"/>
        </w:numPr>
        <w:kinsoku/>
        <w:topLinePunct w:val="0"/>
        <w:autoSpaceDN/>
        <w:bidi w:val="0"/>
        <w:adjustRightInd w:val="0"/>
        <w:snapToGrid w:val="0"/>
        <w:spacing w:beforeLines="0" w:afterLines="0" w:line="560" w:lineRule="exact"/>
        <w:rPr>
          <w:rFonts w:ascii="楷体_GB2312" w:eastAsia="楷体_GB2312" w:hAnsi="楷体_GB2312" w:cs="楷体_GB2312" w:hint="eastAsia"/>
          <w:b w:val="0"/>
          <w:bCs/>
          <w:sz w:val="32"/>
          <w:szCs w:val="32"/>
          <w:lang w:val="en-US" w:eastAsia="zh-CN"/>
        </w:rPr>
      </w:pPr>
      <w:bookmarkStart w:id="4" w:name="_Toc22682"/>
    </w:p>
    <w:p>
      <w:pPr>
        <w:pStyle w:val="a"/>
        <w:pageBreakBefore w:val="0"/>
        <w:widowControl/>
        <w:numPr>
          <w:ilvl w:val="0"/>
          <w:numId w:val="0"/>
        </w:numPr>
        <w:kinsoku/>
        <w:topLinePunct w:val="0"/>
        <w:autoSpaceDN/>
        <w:bidi w:val="0"/>
        <w:adjustRightInd w:val="0"/>
        <w:snapToGrid w:val="0"/>
        <w:spacing w:beforeLines="0" w:afterLines="0" w:line="560" w:lineRule="exact"/>
        <w:rPr>
          <w:rFonts w:ascii="楷体_GB2312" w:eastAsia="楷体_GB2312" w:hAnsi="楷体_GB2312" w:cs="楷体_GB2312" w:hint="eastAsia"/>
          <w:b w:val="0"/>
          <w:bCs/>
          <w:sz w:val="32"/>
          <w:szCs w:val="32"/>
          <w:lang w:val="en-US" w:eastAsia="zh-CN"/>
        </w:rPr>
      </w:pPr>
      <w:r>
        <w:rPr>
          <w:rFonts w:ascii="楷体_GB2312" w:eastAsia="楷体_GB2312" w:hAnsi="楷体_GB2312" w:cs="楷体_GB2312" w:hint="eastAsia"/>
          <w:b w:val="0"/>
          <w:bCs/>
          <w:sz w:val="32"/>
          <w:szCs w:val="32"/>
          <w:lang w:val="en-US" w:eastAsia="zh-CN"/>
        </w:rPr>
        <w:t>（三）10kV计量用电压互感器二次端子</w:t>
      </w:r>
      <w:bookmarkEnd w:id="4"/>
      <w:r>
        <w:rPr>
          <w:rFonts w:ascii="楷体_GB2312" w:eastAsia="楷体_GB2312" w:hAnsi="楷体_GB2312" w:cs="楷体_GB2312" w:hint="eastAsia"/>
          <w:b w:val="0"/>
          <w:bCs/>
          <w:sz w:val="32"/>
          <w:szCs w:val="32"/>
          <w:lang w:val="en-US" w:eastAsia="zh-CN"/>
        </w:rPr>
        <w:t>罩</w:t>
      </w:r>
    </w:p>
    <w:p>
      <w:pPr>
        <w:pStyle w:val="a0"/>
        <w:adjustRightInd w:val="0"/>
        <w:snapToGrid w:val="0"/>
        <w:ind w:firstLine="0" w:firstLineChars="0"/>
        <w:jc w:val="center"/>
        <w:rPr>
          <w:rFonts w:ascii="Times New Roman"/>
        </w:rPr>
      </w:pPr>
      <w:r>
        <w:rPr>
          <w:rFonts w:ascii="Times New Roman"/>
        </w:rPr>
        <w:drawing>
          <wp:inline distT="0" distB="0" distL="114300" distR="114300">
            <wp:extent cx="5511165" cy="3735705"/>
            <wp:effectExtent l="0" t="0" r="13335"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xmlns:r="http://schemas.openxmlformats.org/officeDocument/2006/relationships" r:embed="rId11"/>
                    <a:stretch>
                      <a:fillRect/>
                    </a:stretch>
                  </pic:blipFill>
                  <pic:spPr>
                    <a:xfrm>
                      <a:off x="0" y="0"/>
                      <a:ext cx="5511165" cy="3735705"/>
                    </a:xfrm>
                    <a:prstGeom prst="rect">
                      <a:avLst/>
                    </a:prstGeom>
                    <a:noFill/>
                    <a:ln>
                      <a:noFill/>
                    </a:ln>
                  </pic:spPr>
                </pic:pic>
              </a:graphicData>
            </a:graphic>
          </wp:inline>
        </w:drawing>
      </w:r>
    </w:p>
    <w:p>
      <w:pPr>
        <w:pStyle w:val="yq1"/>
        <w:numPr>
          <w:ilvl w:val="0"/>
          <w:numId w:val="0"/>
        </w:numPr>
        <w:spacing w:line="240" w:lineRule="auto"/>
        <w:jc w:val="both"/>
        <w:rPr>
          <w:rFonts w:ascii="Times New Roman" w:hAnsi="Times New Roman" w:cs="Times New Roman"/>
          <w:b w:val="0"/>
          <w:sz w:val="32"/>
          <w:szCs w:val="32"/>
        </w:rPr>
      </w:pPr>
      <w:r>
        <w:rPr>
          <w:rFonts w:ascii="Times New Roman" w:hAnsi="Times New Roman" w:cs="Times New Roman" w:hint="eastAsia"/>
          <w:b w:val="0"/>
          <w:sz w:val="32"/>
          <w:szCs w:val="32"/>
          <w:lang w:eastAsia="zh-CN"/>
        </w:rPr>
        <w:t>二、</w:t>
      </w:r>
      <w:r>
        <w:rPr>
          <w:rFonts w:ascii="Times New Roman" w:hAnsi="Times New Roman" w:cs="Times New Roman" w:hint="eastAsia"/>
          <w:b w:val="0"/>
          <w:sz w:val="32"/>
          <w:szCs w:val="32"/>
        </w:rPr>
        <w:t>10kV计量用</w:t>
      </w:r>
      <w:r>
        <w:rPr>
          <w:rFonts w:ascii="Times New Roman" w:hAnsi="Times New Roman" w:cs="Times New Roman"/>
          <w:b w:val="0"/>
          <w:sz w:val="32"/>
          <w:szCs w:val="32"/>
        </w:rPr>
        <w:t>电流</w:t>
      </w:r>
      <w:r>
        <w:rPr>
          <w:rFonts w:ascii="Times New Roman" w:hAnsi="Times New Roman" w:cs="Times New Roman" w:hint="eastAsia"/>
          <w:b w:val="0"/>
          <w:sz w:val="32"/>
          <w:szCs w:val="32"/>
        </w:rPr>
        <w:t>互感器</w:t>
      </w:r>
      <w:r>
        <w:rPr>
          <w:rFonts w:ascii="Times New Roman" w:hAnsi="Times New Roman" w:cs="Times New Roman"/>
          <w:b w:val="0"/>
          <w:sz w:val="32"/>
          <w:szCs w:val="32"/>
        </w:rPr>
        <w:t>外形尺寸图</w:t>
      </w:r>
    </w:p>
    <w:p>
      <w:pPr>
        <w:pStyle w:val="a"/>
        <w:pageBreakBefore w:val="0"/>
        <w:widowControl/>
        <w:numPr>
          <w:ilvl w:val="0"/>
          <w:numId w:val="0"/>
        </w:numPr>
        <w:kinsoku/>
        <w:topLinePunct w:val="0"/>
        <w:autoSpaceDN/>
        <w:bidi w:val="0"/>
        <w:adjustRightInd w:val="0"/>
        <w:snapToGrid w:val="0"/>
        <w:spacing w:beforeLines="0" w:afterLines="0" w:line="560" w:lineRule="exact"/>
        <w:rPr>
          <w:rFonts w:ascii="楷体_GB2312" w:eastAsia="楷体_GB2312" w:hAnsi="楷体_GB2312" w:cs="楷体_GB2312" w:hint="eastAsia"/>
          <w:b w:val="0"/>
          <w:bCs/>
          <w:sz w:val="32"/>
          <w:szCs w:val="32"/>
          <w:lang w:val="en-US" w:eastAsia="zh-CN"/>
        </w:rPr>
      </w:pPr>
      <w:r>
        <w:rPr>
          <w:rFonts w:ascii="楷体_GB2312" w:eastAsia="楷体_GB2312" w:hAnsi="楷体_GB2312" w:cs="楷体_GB2312" w:hint="eastAsia"/>
          <w:b w:val="0"/>
          <w:bCs/>
          <w:sz w:val="32"/>
          <w:szCs w:val="32"/>
          <w:lang w:val="en-US" w:eastAsia="zh-CN"/>
        </w:rPr>
        <w:t>（一）10kV计量用电流互感器外形图</w:t>
      </w:r>
    </w:p>
    <w:p>
      <w:pPr>
        <w:pStyle w:val="a0"/>
        <w:ind w:firstLine="0" w:firstLineChars="0"/>
        <w:jc w:val="center"/>
        <w:rPr>
          <w:rFonts w:ascii="Times New Roman"/>
        </w:rPr>
      </w:pPr>
      <w:r>
        <w:rPr>
          <w:rFonts w:ascii="Times New Roman"/>
        </w:rPr>
        <w:drawing>
          <wp:inline distT="0" distB="0" distL="114300" distR="114300">
            <wp:extent cx="5436235" cy="3641725"/>
            <wp:effectExtent l="0" t="0" r="12065"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xmlns:r="http://schemas.openxmlformats.org/officeDocument/2006/relationships" r:embed="rId12"/>
                    <a:stretch>
                      <a:fillRect/>
                    </a:stretch>
                  </pic:blipFill>
                  <pic:spPr>
                    <a:xfrm>
                      <a:off x="0" y="0"/>
                      <a:ext cx="5436235" cy="3641725"/>
                    </a:xfrm>
                    <a:prstGeom prst="rect">
                      <a:avLst/>
                    </a:prstGeom>
                    <a:noFill/>
                    <a:ln>
                      <a:noFill/>
                    </a:ln>
                  </pic:spPr>
                </pic:pic>
              </a:graphicData>
            </a:graphic>
          </wp:inline>
        </w:drawing>
      </w:r>
    </w:p>
    <w:p>
      <w:pPr>
        <w:pStyle w:val="a"/>
        <w:pageBreakBefore w:val="0"/>
        <w:widowControl/>
        <w:numPr>
          <w:ilvl w:val="0"/>
          <w:numId w:val="0"/>
        </w:numPr>
        <w:kinsoku/>
        <w:topLinePunct w:val="0"/>
        <w:autoSpaceDN/>
        <w:bidi w:val="0"/>
        <w:adjustRightInd w:val="0"/>
        <w:snapToGrid w:val="0"/>
        <w:spacing w:beforeLines="0" w:afterLines="0" w:line="560" w:lineRule="exact"/>
        <w:rPr>
          <w:rFonts w:ascii="楷体_GB2312" w:eastAsia="楷体_GB2312" w:hAnsi="楷体_GB2312" w:cs="楷体_GB2312" w:hint="eastAsia"/>
          <w:b w:val="0"/>
          <w:bCs/>
          <w:sz w:val="32"/>
          <w:szCs w:val="32"/>
          <w:lang w:val="en-US" w:eastAsia="zh-CN"/>
        </w:rPr>
      </w:pPr>
      <w:r>
        <w:rPr>
          <w:rFonts w:ascii="楷体_GB2312" w:eastAsia="楷体_GB2312" w:hAnsi="楷体_GB2312" w:cs="楷体_GB2312" w:hint="eastAsia"/>
          <w:b w:val="0"/>
          <w:bCs/>
          <w:sz w:val="32"/>
          <w:szCs w:val="32"/>
          <w:lang w:val="en-US" w:eastAsia="zh-CN"/>
        </w:rPr>
        <w:t>（二）10kV计量用电流互感器浇注图</w:t>
      </w:r>
    </w:p>
    <w:p>
      <w:pPr>
        <w:pStyle w:val="a0"/>
        <w:ind w:firstLine="0" w:firstLineChars="0"/>
        <w:jc w:val="center"/>
        <w:rPr>
          <w:rFonts w:ascii="Times New Roman"/>
        </w:rPr>
      </w:pPr>
      <w:r>
        <w:rPr>
          <w:rFonts w:ascii="Times New Roman"/>
        </w:rPr>
        <w:drawing>
          <wp:inline distT="0" distB="0" distL="114300" distR="114300">
            <wp:extent cx="5436870" cy="3822700"/>
            <wp:effectExtent l="0" t="0" r="1143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xmlns:r="http://schemas.openxmlformats.org/officeDocument/2006/relationships" r:embed="rId13"/>
                    <a:stretch>
                      <a:fillRect/>
                    </a:stretch>
                  </pic:blipFill>
                  <pic:spPr>
                    <a:xfrm>
                      <a:off x="0" y="0"/>
                      <a:ext cx="5436870" cy="3822700"/>
                    </a:xfrm>
                    <a:prstGeom prst="rect">
                      <a:avLst/>
                    </a:prstGeom>
                    <a:noFill/>
                    <a:ln>
                      <a:noFill/>
                    </a:ln>
                  </pic:spPr>
                </pic:pic>
              </a:graphicData>
            </a:graphic>
          </wp:inline>
        </w:drawing>
      </w:r>
    </w:p>
    <w:p>
      <w:pPr>
        <w:pStyle w:val="a0"/>
        <w:ind w:firstLine="0" w:firstLineChars="0"/>
        <w:jc w:val="center"/>
        <w:rPr>
          <w:rFonts w:ascii="Times New Roman"/>
        </w:rPr>
      </w:pPr>
      <w:r>
        <w:rPr>
          <w:rFonts w:ascii="Times New Roman"/>
        </w:rPr>
        <w:drawing>
          <wp:inline distT="0" distB="0" distL="114300" distR="114300">
            <wp:extent cx="5422900" cy="4013835"/>
            <wp:effectExtent l="0" t="0" r="635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xmlns:r="http://schemas.openxmlformats.org/officeDocument/2006/relationships" r:embed="rId14"/>
                    <a:stretch>
                      <a:fillRect/>
                    </a:stretch>
                  </pic:blipFill>
                  <pic:spPr>
                    <a:xfrm>
                      <a:off x="0" y="0"/>
                      <a:ext cx="5422900" cy="4013835"/>
                    </a:xfrm>
                    <a:prstGeom prst="rect">
                      <a:avLst/>
                    </a:prstGeom>
                    <a:noFill/>
                    <a:ln>
                      <a:noFill/>
                    </a:ln>
                  </pic:spPr>
                </pic:pic>
              </a:graphicData>
            </a:graphic>
          </wp:inline>
        </w:drawing>
      </w:r>
    </w:p>
    <w:p>
      <w:pPr>
        <w:pStyle w:val="a"/>
        <w:pageBreakBefore w:val="0"/>
        <w:widowControl/>
        <w:numPr>
          <w:ilvl w:val="0"/>
          <w:numId w:val="0"/>
        </w:numPr>
        <w:kinsoku/>
        <w:topLinePunct w:val="0"/>
        <w:autoSpaceDN/>
        <w:bidi w:val="0"/>
        <w:adjustRightInd w:val="0"/>
        <w:snapToGrid w:val="0"/>
        <w:spacing w:beforeLines="0" w:afterLines="0" w:line="560" w:lineRule="exact"/>
        <w:rPr>
          <w:rFonts w:ascii="楷体_GB2312" w:eastAsia="楷体_GB2312" w:hAnsi="楷体_GB2312" w:cs="楷体_GB2312" w:hint="eastAsia"/>
          <w:b w:val="0"/>
          <w:bCs/>
          <w:sz w:val="32"/>
          <w:szCs w:val="32"/>
          <w:lang w:val="en-US" w:eastAsia="zh-CN"/>
        </w:rPr>
      </w:pPr>
    </w:p>
    <w:p>
      <w:pPr>
        <w:pStyle w:val="a"/>
        <w:pageBreakBefore w:val="0"/>
        <w:widowControl/>
        <w:numPr>
          <w:ilvl w:val="0"/>
          <w:numId w:val="0"/>
        </w:numPr>
        <w:kinsoku/>
        <w:topLinePunct w:val="0"/>
        <w:autoSpaceDN/>
        <w:bidi w:val="0"/>
        <w:adjustRightInd w:val="0"/>
        <w:snapToGrid w:val="0"/>
        <w:spacing w:beforeLines="0" w:afterLines="0" w:line="560" w:lineRule="exact"/>
        <w:rPr>
          <w:rFonts w:ascii="楷体_GB2312" w:eastAsia="楷体_GB2312" w:hAnsi="楷体_GB2312" w:cs="楷体_GB2312" w:hint="eastAsia"/>
          <w:b w:val="0"/>
          <w:bCs/>
          <w:sz w:val="32"/>
          <w:szCs w:val="32"/>
          <w:lang w:val="en-US" w:eastAsia="zh-CN"/>
        </w:rPr>
      </w:pPr>
      <w:r>
        <w:rPr>
          <w:rFonts w:ascii="楷体_GB2312" w:eastAsia="楷体_GB2312" w:hAnsi="楷体_GB2312" w:cs="楷体_GB2312" w:hint="eastAsia"/>
          <w:b w:val="0"/>
          <w:bCs/>
          <w:sz w:val="32"/>
          <w:szCs w:val="32"/>
          <w:lang w:val="en-US" w:eastAsia="zh-CN"/>
        </w:rPr>
        <w:t>（三）10kV计量用电流互感器二次端子罩</w:t>
      </w:r>
    </w:p>
    <w:p>
      <w:pPr>
        <w:pStyle w:val="a0"/>
        <w:ind w:firstLine="0" w:firstLineChars="0"/>
        <w:jc w:val="center"/>
        <w:rPr>
          <w:rFonts w:ascii="Times New Roman"/>
        </w:rPr>
      </w:pPr>
      <w:r>
        <w:rPr>
          <w:rFonts w:ascii="Times New Roman"/>
        </w:rPr>
        <w:drawing>
          <wp:inline distT="0" distB="0" distL="114300" distR="114300">
            <wp:extent cx="5359400" cy="3632835"/>
            <wp:effectExtent l="0" t="0" r="1270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xmlns:r="http://schemas.openxmlformats.org/officeDocument/2006/relationships" r:embed="rId15"/>
                    <a:stretch>
                      <a:fillRect/>
                    </a:stretch>
                  </pic:blipFill>
                  <pic:spPr>
                    <a:xfrm>
                      <a:off x="0" y="0"/>
                      <a:ext cx="5359400" cy="3632835"/>
                    </a:xfrm>
                    <a:prstGeom prst="rect">
                      <a:avLst/>
                    </a:prstGeom>
                    <a:noFill/>
                    <a:ln>
                      <a:noFill/>
                    </a:ln>
                  </pic:spPr>
                </pic:pic>
              </a:graphicData>
            </a:graphic>
          </wp:inline>
        </w:drawing>
      </w:r>
    </w:p>
    <w:p>
      <w:pPr>
        <w:pStyle w:val="a0"/>
        <w:ind w:firstLine="0" w:firstLineChars="0"/>
        <w:jc w:val="center"/>
        <w:rPr>
          <w:rFonts w:ascii="黑体" w:eastAsia="黑体" w:hAnsi="黑体" w:cs="黑体"/>
          <w:bCs/>
        </w:rPr>
      </w:pPr>
    </w:p>
    <w:p>
      <w:pPr>
        <w:pStyle w:val="a"/>
        <w:pageBreakBefore w:val="0"/>
        <w:widowControl/>
        <w:numPr>
          <w:ilvl w:val="0"/>
          <w:numId w:val="0"/>
        </w:numPr>
        <w:kinsoku/>
        <w:topLinePunct w:val="0"/>
        <w:autoSpaceDN/>
        <w:bidi w:val="0"/>
        <w:adjustRightInd w:val="0"/>
        <w:snapToGrid w:val="0"/>
        <w:spacing w:beforeLines="0" w:afterLines="0" w:line="560" w:lineRule="exact"/>
        <w:rPr>
          <w:rFonts w:ascii="楷体_GB2312" w:eastAsia="楷体_GB2312" w:hAnsi="楷体_GB2312" w:cs="楷体_GB2312" w:hint="eastAsia"/>
          <w:b w:val="0"/>
          <w:bCs/>
          <w:sz w:val="32"/>
          <w:szCs w:val="32"/>
          <w:lang w:val="en-US" w:eastAsia="zh-CN"/>
        </w:rPr>
      </w:pPr>
      <w:r>
        <w:rPr>
          <w:rFonts w:ascii="楷体_GB2312" w:eastAsia="楷体_GB2312" w:hAnsi="楷体_GB2312" w:cs="楷体_GB2312" w:hint="eastAsia"/>
          <w:b w:val="0"/>
          <w:bCs/>
          <w:sz w:val="32"/>
          <w:szCs w:val="32"/>
          <w:lang w:val="en-US" w:eastAsia="zh-CN"/>
        </w:rPr>
        <w:t>（四）计量用低压电流互感器外形图</w:t>
      </w:r>
    </w:p>
    <w:p>
      <w:pPr>
        <w:pStyle w:val="a0"/>
        <w:adjustRightInd w:val="0"/>
        <w:snapToGrid w:val="0"/>
        <w:ind w:firstLine="0" w:firstLineChars="0"/>
        <w:jc w:val="center"/>
        <w:rPr>
          <w:rFonts w:ascii="Times New Roman"/>
        </w:rPr>
      </w:pPr>
      <w:r>
        <w:rPr>
          <w:rFonts w:ascii="Times New Roman"/>
        </w:rPr>
        <w:drawing>
          <wp:inline distT="0" distB="0" distL="114300" distR="114300">
            <wp:extent cx="5357495" cy="3691255"/>
            <wp:effectExtent l="0" t="0" r="14605"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xmlns:r="http://schemas.openxmlformats.org/officeDocument/2006/relationships" r:embed="rId16"/>
                    <a:stretch>
                      <a:fillRect/>
                    </a:stretch>
                  </pic:blipFill>
                  <pic:spPr>
                    <a:xfrm>
                      <a:off x="0" y="0"/>
                      <a:ext cx="5357495" cy="3691255"/>
                    </a:xfrm>
                    <a:prstGeom prst="rect">
                      <a:avLst/>
                    </a:prstGeom>
                    <a:noFill/>
                    <a:ln>
                      <a:noFill/>
                    </a:ln>
                  </pic:spPr>
                </pic:pic>
              </a:graphicData>
            </a:graphic>
          </wp:inline>
        </w:drawing>
      </w:r>
    </w:p>
    <w:p>
      <w:pPr>
        <w:pStyle w:val="a0"/>
        <w:adjustRightInd w:val="0"/>
        <w:snapToGrid w:val="0"/>
        <w:ind w:firstLine="0" w:firstLineChars="0"/>
        <w:jc w:val="center"/>
        <w:rPr>
          <w:rFonts w:ascii="Times New Roman"/>
        </w:rPr>
      </w:pPr>
    </w:p>
    <w:p>
      <w:pPr>
        <w:pStyle w:val="a0"/>
        <w:adjustRightInd w:val="0"/>
        <w:snapToGrid w:val="0"/>
        <w:ind w:firstLine="0" w:firstLineChars="0"/>
        <w:jc w:val="center"/>
        <w:rPr>
          <w:rFonts w:ascii="Times New Roman"/>
        </w:rPr>
      </w:pPr>
      <w:r>
        <w:rPr>
          <w:rFonts w:ascii="Times New Roman"/>
        </w:rPr>
        <w:drawing>
          <wp:inline distT="0" distB="0" distL="114300" distR="114300">
            <wp:extent cx="5343525" cy="3689350"/>
            <wp:effectExtent l="0" t="0" r="9525" b="63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xmlns:r="http://schemas.openxmlformats.org/officeDocument/2006/relationships" r:embed="rId17"/>
                    <a:stretch>
                      <a:fillRect/>
                    </a:stretch>
                  </pic:blipFill>
                  <pic:spPr>
                    <a:xfrm>
                      <a:off x="0" y="0"/>
                      <a:ext cx="5343525" cy="3689350"/>
                    </a:xfrm>
                    <a:prstGeom prst="rect">
                      <a:avLst/>
                    </a:prstGeom>
                    <a:noFill/>
                    <a:ln>
                      <a:noFill/>
                    </a:ln>
                  </pic:spPr>
                </pic:pic>
              </a:graphicData>
            </a:graphic>
          </wp:inline>
        </w:drawing>
      </w:r>
    </w:p>
    <w:p>
      <w:pPr>
        <w:pStyle w:val="BodyText"/>
      </w:pPr>
    </w:p>
    <w:p>
      <w:pPr>
        <w:pStyle w:val="a0"/>
        <w:adjustRightInd w:val="0"/>
        <w:snapToGrid w:val="0"/>
        <w:ind w:firstLine="0" w:firstLineChars="0"/>
        <w:jc w:val="center"/>
        <w:rPr>
          <w:rFonts w:ascii="Times New Roman"/>
        </w:rPr>
      </w:pPr>
      <w:r>
        <w:rPr>
          <w:rFonts w:ascii="Times New Roman"/>
        </w:rPr>
        <w:drawing>
          <wp:inline distT="0" distB="0" distL="114300" distR="114300">
            <wp:extent cx="5344160" cy="3684270"/>
            <wp:effectExtent l="0" t="0" r="8890" b="1143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xmlns:r="http://schemas.openxmlformats.org/officeDocument/2006/relationships" r:embed="rId18"/>
                    <a:stretch>
                      <a:fillRect/>
                    </a:stretch>
                  </pic:blipFill>
                  <pic:spPr>
                    <a:xfrm>
                      <a:off x="0" y="0"/>
                      <a:ext cx="5344160" cy="3684270"/>
                    </a:xfrm>
                    <a:prstGeom prst="rect">
                      <a:avLst/>
                    </a:prstGeom>
                    <a:noFill/>
                    <a:ln>
                      <a:noFill/>
                    </a:ln>
                  </pic:spPr>
                </pic:pic>
              </a:graphicData>
            </a:graphic>
          </wp:inline>
        </w:drawing>
      </w:r>
    </w:p>
    <w:p>
      <w:pPr>
        <w:pStyle w:val="BodyText"/>
      </w:pPr>
    </w:p>
    <w:p/>
    <w:p>
      <w:pPr>
        <w:pStyle w:val="a"/>
        <w:pageBreakBefore w:val="0"/>
        <w:widowControl/>
        <w:numPr>
          <w:ilvl w:val="0"/>
          <w:numId w:val="0"/>
        </w:numPr>
        <w:kinsoku/>
        <w:topLinePunct w:val="0"/>
        <w:autoSpaceDN/>
        <w:bidi w:val="0"/>
        <w:adjustRightInd w:val="0"/>
        <w:snapToGrid w:val="0"/>
        <w:spacing w:beforeLines="0" w:afterLines="0" w:line="560" w:lineRule="exact"/>
        <w:rPr>
          <w:rFonts w:ascii="楷体_GB2312" w:eastAsia="楷体_GB2312" w:hAnsi="楷体_GB2312" w:cs="楷体_GB2312" w:hint="eastAsia"/>
          <w:b w:val="0"/>
          <w:bCs/>
          <w:sz w:val="32"/>
          <w:szCs w:val="32"/>
          <w:lang w:val="en-US" w:eastAsia="zh-CN"/>
        </w:rPr>
      </w:pPr>
      <w:r>
        <w:rPr>
          <w:rFonts w:ascii="楷体_GB2312" w:eastAsia="楷体_GB2312" w:hAnsi="楷体_GB2312" w:cs="楷体_GB2312" w:hint="eastAsia"/>
          <w:b w:val="0"/>
          <w:bCs/>
          <w:sz w:val="32"/>
          <w:szCs w:val="32"/>
          <w:lang w:val="en-US" w:eastAsia="zh-CN"/>
        </w:rPr>
        <w:t>（五）计量用低压电流互感器二次端子罩</w:t>
      </w:r>
    </w:p>
    <w:p>
      <w:pPr>
        <w:pStyle w:val="a0"/>
        <w:ind w:left="0" w:firstLine="0" w:leftChars="0" w:firstLineChars="0"/>
      </w:pPr>
      <w:r>
        <w:rPr>
          <w:b/>
          <w:sz w:val="24"/>
          <w:szCs w:val="24"/>
        </w:rPr>
        <w:drawing>
          <wp:inline distT="0" distB="0" distL="114300" distR="114300">
            <wp:extent cx="5353050" cy="3687445"/>
            <wp:effectExtent l="0" t="0" r="0" b="8255"/>
            <wp:docPr id="15" name="图片 15" descr="二次端子罩2(南方电网专 用2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二次端子罩2(南方电网专 用2014-7)"/>
                    <pic:cNvPicPr>
                      <a:picLocks noChangeAspect="1"/>
                    </pic:cNvPicPr>
                  </pic:nvPicPr>
                  <pic:blipFill>
                    <a:blip xmlns:r="http://schemas.openxmlformats.org/officeDocument/2006/relationships" r:embed="rId19"/>
                    <a:stretch>
                      <a:fillRect/>
                    </a:stretch>
                  </pic:blipFill>
                  <pic:spPr>
                    <a:xfrm>
                      <a:off x="0" y="0"/>
                      <a:ext cx="5353050" cy="3687445"/>
                    </a:xfrm>
                    <a:prstGeom prst="rect">
                      <a:avLst/>
                    </a:prstGeom>
                    <a:noFill/>
                    <a:ln>
                      <a:noFill/>
                    </a:ln>
                  </pic:spPr>
                </pic:pic>
              </a:graphicData>
            </a:graphic>
          </wp:inline>
        </w:drawing>
      </w:r>
    </w:p>
    <w:p/>
    <w:p>
      <w:pPr>
        <w:pStyle w:val="Title"/>
        <w:jc w:val="both"/>
        <w:rPr>
          <w:rFonts w:ascii="方正小标宋简体" w:eastAsia="方正小标宋简体" w:hAnsi="方正小标宋简体" w:cs="方正小标宋简体" w:hint="eastAsia"/>
          <w:color w:val="auto"/>
          <w:kern w:val="2"/>
          <w:sz w:val="40"/>
          <w:szCs w:val="40"/>
          <w:highlight w:val="none"/>
          <w:lang w:val="en-US" w:eastAsia="zh-CN" w:bidi="ar"/>
        </w:rPr>
      </w:pPr>
      <w:r>
        <w:rPr>
          <w:rFonts w:ascii="黑体" w:eastAsia="黑体" w:hAnsi="黑体" w:cs="黑体" w:hint="eastAsia"/>
          <w:color w:val="auto"/>
          <w:sz w:val="32"/>
          <w:szCs w:val="32"/>
          <w:lang w:val="en-US" w:eastAsia="zh-CN"/>
        </w:rPr>
        <w:t>附录4</w:t>
      </w:r>
    </w:p>
    <w:p>
      <w:pPr>
        <w:keepNext w:val="0"/>
        <w:keepLines w:val="0"/>
        <w:widowControl w:val="0"/>
        <w:suppressLineNumbers w:val="0"/>
        <w:spacing w:before="0" w:beforeAutospacing="0" w:after="0" w:afterAutospacing="0" w:line="600" w:lineRule="exact"/>
        <w:ind w:left="0" w:right="0"/>
        <w:jc w:val="center"/>
        <w:rPr>
          <w:rFonts w:ascii="方正小标宋简体" w:eastAsia="方正小标宋简体" w:hAnsi="方正小标宋简体" w:cs="方正小标宋简体" w:hint="eastAsia"/>
          <w:color w:val="auto"/>
          <w:kern w:val="2"/>
          <w:sz w:val="40"/>
          <w:szCs w:val="40"/>
          <w:highlight w:val="none"/>
        </w:rPr>
      </w:pPr>
      <w:r>
        <w:rPr>
          <w:rFonts w:ascii="方正小标宋简体" w:eastAsia="方正小标宋简体" w:hAnsi="方正小标宋简体" w:cs="方正小标宋简体" w:hint="eastAsia"/>
          <w:color w:val="auto"/>
          <w:kern w:val="2"/>
          <w:sz w:val="40"/>
          <w:szCs w:val="40"/>
          <w:highlight w:val="none"/>
          <w:lang w:val="en-US" w:eastAsia="zh-CN" w:bidi="ar"/>
        </w:rPr>
        <w:t>新能源汽车充电设施用电（使用）协议书</w:t>
      </w:r>
    </w:p>
    <w:p>
      <w:pPr>
        <w:keepNext w:val="0"/>
        <w:keepLines w:val="0"/>
        <w:widowControl w:val="0"/>
        <w:suppressLineNumbers w:val="0"/>
        <w:spacing w:before="0" w:beforeAutospacing="0" w:after="0" w:afterAutospacing="0" w:line="600" w:lineRule="exact"/>
        <w:ind w:left="0" w:right="0"/>
        <w:jc w:val="center"/>
        <w:rPr>
          <w:rFonts w:ascii="方正小标宋简体" w:eastAsia="方正小标宋简体" w:hAnsi="方正小标宋简体" w:cs="方正小标宋简体" w:hint="eastAsia"/>
          <w:color w:val="auto"/>
          <w:kern w:val="2"/>
          <w:sz w:val="40"/>
          <w:szCs w:val="40"/>
          <w:highlight w:val="none"/>
        </w:rPr>
      </w:pPr>
      <w:r>
        <w:rPr>
          <w:rFonts w:ascii="方正小标宋简体" w:eastAsia="方正小标宋简体" w:hAnsi="方正小标宋简体" w:cs="方正小标宋简体" w:hint="eastAsia"/>
          <w:color w:val="auto"/>
          <w:kern w:val="2"/>
          <w:sz w:val="40"/>
          <w:szCs w:val="40"/>
          <w:highlight w:val="none"/>
          <w:lang w:val="en-US" w:eastAsia="zh-CN" w:bidi="ar"/>
        </w:rPr>
        <w:t>（参考范本）</w:t>
      </w:r>
    </w:p>
    <w:p>
      <w:pPr>
        <w:keepNext w:val="0"/>
        <w:keepLines w:val="0"/>
        <w:widowControl w:val="0"/>
        <w:suppressLineNumbers w:val="0"/>
        <w:spacing w:before="0" w:beforeAutospacing="0" w:after="0" w:afterAutospacing="0" w:line="600" w:lineRule="exact"/>
        <w:ind w:left="0" w:right="0"/>
        <w:jc w:val="center"/>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 xml:space="preserve"> </w:t>
      </w:r>
    </w:p>
    <w:p>
      <w:pPr>
        <w:keepNext w:val="0"/>
        <w:keepLines w:val="0"/>
        <w:widowControl w:val="0"/>
        <w:suppressLineNumbers w:val="0"/>
        <w:spacing w:before="0" w:beforeAutospacing="0" w:after="0" w:afterAutospacing="0" w:line="600" w:lineRule="exact"/>
        <w:ind w:left="0" w:right="0"/>
        <w:jc w:val="both"/>
        <w:rPr>
          <w:rFonts w:ascii="黑体" w:eastAsia="黑体" w:hAnsi="宋体" w:cs="黑体" w:hint="eastAsia"/>
          <w:color w:val="auto"/>
          <w:kern w:val="2"/>
          <w:sz w:val="32"/>
          <w:szCs w:val="32"/>
          <w:highlight w:val="none"/>
          <w:u w:val="single"/>
        </w:rPr>
      </w:pPr>
      <w:r>
        <w:rPr>
          <w:rFonts w:ascii="黑体" w:eastAsia="黑体" w:hAnsi="宋体" w:cs="黑体" w:hint="eastAsia"/>
          <w:color w:val="auto"/>
          <w:kern w:val="2"/>
          <w:sz w:val="32"/>
          <w:szCs w:val="32"/>
          <w:highlight w:val="none"/>
          <w:lang w:val="en-US" w:eastAsia="zh-CN" w:bidi="ar"/>
        </w:rPr>
        <w:t xml:space="preserve">甲方（物业服务人）： </w:t>
      </w:r>
      <w:r>
        <w:rPr>
          <w:rFonts w:ascii="黑体" w:eastAsia="黑体" w:hAnsi="宋体" w:cs="黑体" w:hint="eastAsia"/>
          <w:color w:val="auto"/>
          <w:kern w:val="2"/>
          <w:sz w:val="32"/>
          <w:szCs w:val="32"/>
          <w:highlight w:val="none"/>
          <w:u w:val="single"/>
          <w:lang w:val="en-US" w:eastAsia="zh-CN" w:bidi="ar"/>
        </w:rPr>
        <w:t xml:space="preserve">                               </w:t>
      </w:r>
    </w:p>
    <w:p>
      <w:pPr>
        <w:keepNext w:val="0"/>
        <w:keepLines w:val="0"/>
        <w:widowControl w:val="0"/>
        <w:suppressLineNumbers w:val="0"/>
        <w:spacing w:before="0" w:beforeAutospacing="0" w:after="0" w:afterAutospacing="0" w:line="600" w:lineRule="exact"/>
        <w:ind w:left="0" w:right="0"/>
        <w:jc w:val="both"/>
        <w:rPr>
          <w:rFonts w:ascii="黑体" w:eastAsia="黑体" w:hAnsi="宋体" w:cs="黑体" w:hint="eastAsia"/>
          <w:color w:val="auto"/>
          <w:kern w:val="2"/>
          <w:sz w:val="32"/>
          <w:szCs w:val="32"/>
          <w:highlight w:val="none"/>
        </w:rPr>
      </w:pPr>
      <w:r>
        <w:rPr>
          <w:rFonts w:ascii="黑体" w:eastAsia="黑体" w:hAnsi="宋体" w:cs="黑体" w:hint="eastAsia"/>
          <w:color w:val="auto"/>
          <w:kern w:val="2"/>
          <w:sz w:val="32"/>
          <w:szCs w:val="32"/>
          <w:highlight w:val="none"/>
          <w:lang w:val="en-US" w:eastAsia="zh-CN" w:bidi="ar"/>
        </w:rPr>
        <w:t>乙方（车位产权人/租赁人）：</w:t>
      </w:r>
      <w:r>
        <w:rPr>
          <w:rFonts w:ascii="黑体" w:eastAsia="黑体" w:hAnsi="宋体" w:cs="黑体" w:hint="eastAsia"/>
          <w:color w:val="auto"/>
          <w:kern w:val="2"/>
          <w:sz w:val="32"/>
          <w:szCs w:val="32"/>
          <w:highlight w:val="none"/>
          <w:u w:val="single"/>
          <w:lang w:val="en-US" w:eastAsia="zh-CN" w:bidi="ar"/>
        </w:rPr>
        <w:t xml:space="preserve">                          </w:t>
      </w:r>
      <w:r>
        <w:rPr>
          <w:rFonts w:ascii="黑体" w:eastAsia="黑体" w:hAnsi="宋体" w:cs="黑体" w:hint="eastAsia"/>
          <w:color w:val="auto"/>
          <w:kern w:val="2"/>
          <w:sz w:val="32"/>
          <w:szCs w:val="32"/>
          <w:highlight w:val="none"/>
          <w:lang w:val="en-US" w:eastAsia="zh-CN" w:bidi="ar"/>
        </w:rPr>
        <w:t xml:space="preserve"> </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 xml:space="preserve"> </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为明确甲、乙双方在转供电与使用中的权利和义务，根据乙方</w:t>
      </w:r>
      <w:r>
        <w:rPr>
          <w:rFonts w:ascii="仿宋_GB2312" w:eastAsia="仿宋_GB2312" w:hAnsi="Times New Roman" w:cs="仿宋_GB2312" w:hint="eastAsia"/>
          <w:color w:val="auto"/>
          <w:kern w:val="2"/>
          <w:sz w:val="32"/>
          <w:szCs w:val="32"/>
          <w:highlight w:val="none"/>
          <w:lang w:val="en-US" w:eastAsia="zh-CN" w:bidi="ar"/>
        </w:rPr>
        <w:t>新能源汽车</w:t>
      </w:r>
      <w:r>
        <w:rPr>
          <w:rFonts w:ascii="仿宋_GB2312" w:eastAsia="仿宋_GB2312" w:hAnsi="Times New Roman" w:cs="仿宋_GB2312" w:hint="default"/>
          <w:color w:val="auto"/>
          <w:kern w:val="2"/>
          <w:sz w:val="32"/>
          <w:szCs w:val="32"/>
          <w:highlight w:val="none"/>
          <w:lang w:val="en-US" w:eastAsia="zh-CN" w:bidi="ar"/>
        </w:rPr>
        <w:t xml:space="preserve">充电使用需要，甲方同意接驳电源，甲乙双方本着友好协商、自愿公平的原则达成如下协议： </w:t>
      </w:r>
    </w:p>
    <w:p>
      <w:pPr>
        <w:keepNext w:val="0"/>
        <w:keepLines w:val="0"/>
        <w:widowControl w:val="0"/>
        <w:suppressLineNumbers w:val="0"/>
        <w:spacing w:before="0" w:beforeAutospacing="0" w:after="0" w:afterAutospacing="0" w:line="600" w:lineRule="exact"/>
        <w:ind w:left="0" w:right="0" w:firstLine="420" w:firstLineChars="200"/>
        <w:jc w:val="both"/>
        <w:rPr>
          <w:rFonts w:ascii="黑体" w:eastAsia="黑体" w:hAnsi="宋体" w:cs="黑体" w:hint="eastAsia"/>
          <w:color w:val="auto"/>
          <w:kern w:val="2"/>
          <w:sz w:val="32"/>
          <w:szCs w:val="32"/>
          <w:highlight w:val="none"/>
        </w:rPr>
      </w:pPr>
      <w:r>
        <w:rPr>
          <w:rFonts w:ascii="黑体" w:eastAsia="黑体" w:hAnsi="宋体" w:cs="黑体" w:hint="eastAsia"/>
          <w:color w:val="auto"/>
          <w:kern w:val="2"/>
          <w:sz w:val="32"/>
          <w:szCs w:val="32"/>
          <w:highlight w:val="none"/>
          <w:lang w:val="en-US" w:eastAsia="zh-CN" w:bidi="ar"/>
        </w:rPr>
        <w:t>一、用电地址</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用电地址：</w:t>
      </w:r>
      <w:r>
        <w:rPr>
          <w:rFonts w:ascii="仿宋_GB2312" w:eastAsia="仿宋_GB2312" w:hAnsi="Times New Roman" w:cs="仿宋_GB2312" w:hint="default"/>
          <w:color w:val="auto"/>
          <w:kern w:val="2"/>
          <w:sz w:val="32"/>
          <w:szCs w:val="32"/>
          <w:highlight w:val="none"/>
          <w:u w:val="single"/>
          <w:lang w:val="en-US" w:eastAsia="zh-CN" w:bidi="ar"/>
        </w:rPr>
        <w:t xml:space="preserve">                                     </w:t>
      </w:r>
      <w:r>
        <w:rPr>
          <w:rFonts w:ascii="仿宋_GB2312" w:eastAsia="仿宋_GB2312" w:hAnsi="Times New Roman" w:cs="仿宋_GB2312" w:hint="default"/>
          <w:color w:val="auto"/>
          <w:kern w:val="2"/>
          <w:sz w:val="32"/>
          <w:szCs w:val="32"/>
          <w:highlight w:val="none"/>
          <w:lang w:val="en-US" w:eastAsia="zh-CN" w:bidi="ar"/>
        </w:rPr>
        <w:t xml:space="preserve"> </w:t>
      </w:r>
    </w:p>
    <w:p>
      <w:pPr>
        <w:keepNext w:val="0"/>
        <w:keepLines w:val="0"/>
        <w:widowControl w:val="0"/>
        <w:suppressLineNumbers w:val="0"/>
        <w:spacing w:before="0" w:beforeAutospacing="0" w:after="0" w:afterAutospacing="0" w:line="600" w:lineRule="exact"/>
        <w:ind w:left="0" w:right="0" w:firstLine="420" w:firstLineChars="200"/>
        <w:jc w:val="both"/>
        <w:rPr>
          <w:rFonts w:ascii="黑体" w:eastAsia="黑体" w:hAnsi="宋体" w:cs="黑体" w:hint="eastAsia"/>
          <w:color w:val="auto"/>
          <w:kern w:val="2"/>
          <w:sz w:val="32"/>
          <w:szCs w:val="32"/>
          <w:highlight w:val="none"/>
        </w:rPr>
      </w:pPr>
      <w:r>
        <w:rPr>
          <w:rFonts w:ascii="黑体" w:eastAsia="黑体" w:hAnsi="宋体" w:cs="黑体" w:hint="eastAsia"/>
          <w:color w:val="auto"/>
          <w:kern w:val="2"/>
          <w:sz w:val="32"/>
          <w:szCs w:val="32"/>
          <w:highlight w:val="none"/>
          <w:lang w:val="en-US" w:eastAsia="zh-CN" w:bidi="ar"/>
        </w:rPr>
        <w:t>二、用电方式及容量</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（一）甲方仅负责提供电源及电源接驳点，施工安装由乙方自行负责。乙方</w:t>
      </w:r>
      <w:r>
        <w:rPr>
          <w:rFonts w:ascii="仿宋_GB2312" w:eastAsia="仿宋_GB2312" w:hAnsi="Times New Roman" w:cs="仿宋_GB2312" w:hint="eastAsia"/>
          <w:color w:val="auto"/>
          <w:kern w:val="2"/>
          <w:sz w:val="32"/>
          <w:szCs w:val="32"/>
          <w:highlight w:val="none"/>
          <w:lang w:val="en-US" w:eastAsia="zh-CN" w:bidi="ar"/>
        </w:rPr>
        <w:t>新能源汽车</w:t>
      </w:r>
      <w:r>
        <w:rPr>
          <w:rFonts w:ascii="仿宋_GB2312" w:eastAsia="仿宋_GB2312" w:hAnsi="Times New Roman" w:cs="仿宋_GB2312" w:hint="default"/>
          <w:color w:val="auto"/>
          <w:kern w:val="2"/>
          <w:sz w:val="32"/>
          <w:szCs w:val="32"/>
          <w:highlight w:val="none"/>
          <w:lang w:val="en-US" w:eastAsia="zh-CN" w:bidi="ar"/>
        </w:rPr>
        <w:t>充电电压为</w:t>
      </w:r>
      <w:r>
        <w:rPr>
          <w:rFonts w:ascii="仿宋_GB2312" w:eastAsia="仿宋_GB2312" w:hAnsi="Times New Roman" w:cs="仿宋_GB2312" w:hint="default"/>
          <w:color w:val="auto"/>
          <w:kern w:val="2"/>
          <w:sz w:val="32"/>
          <w:szCs w:val="32"/>
          <w:highlight w:val="none"/>
          <w:u w:val="single"/>
          <w:lang w:val="en-US" w:eastAsia="zh-CN" w:bidi="ar"/>
        </w:rPr>
        <w:t xml:space="preserve">     </w:t>
      </w:r>
      <w:r>
        <w:rPr>
          <w:rFonts w:ascii="仿宋_GB2312" w:eastAsia="仿宋_GB2312" w:hAnsi="Times New Roman" w:cs="仿宋_GB2312" w:hint="default"/>
          <w:color w:val="auto"/>
          <w:kern w:val="2"/>
          <w:sz w:val="32"/>
          <w:szCs w:val="32"/>
          <w:highlight w:val="none"/>
          <w:lang w:val="en-US" w:eastAsia="zh-CN" w:bidi="ar"/>
        </w:rPr>
        <w:t>，总用电容量为</w:t>
      </w:r>
      <w:r>
        <w:rPr>
          <w:rFonts w:ascii="仿宋_GB2312" w:eastAsia="仿宋_GB2312" w:hAnsi="Times New Roman" w:cs="仿宋_GB2312" w:hint="default"/>
          <w:color w:val="auto"/>
          <w:kern w:val="2"/>
          <w:sz w:val="32"/>
          <w:szCs w:val="32"/>
          <w:highlight w:val="none"/>
          <w:u w:val="single"/>
          <w:lang w:val="en-US" w:eastAsia="zh-CN" w:bidi="ar"/>
        </w:rPr>
        <w:t xml:space="preserve">     </w:t>
      </w:r>
      <w:r>
        <w:rPr>
          <w:rFonts w:ascii="仿宋_GB2312" w:eastAsia="仿宋_GB2312" w:hAnsi="Times New Roman" w:cs="仿宋_GB2312" w:hint="eastAsia"/>
          <w:color w:val="auto"/>
          <w:kern w:val="2"/>
          <w:sz w:val="32"/>
          <w:szCs w:val="32"/>
          <w:highlight w:val="none"/>
          <w:u w:val="single"/>
          <w:lang w:val="en-US" w:eastAsia="zh-CN" w:bidi="ar"/>
        </w:rPr>
        <w:t xml:space="preserve"> </w:t>
      </w:r>
      <w:r>
        <w:rPr>
          <w:rFonts w:ascii="仿宋_GB2312" w:eastAsia="仿宋_GB2312" w:hAnsi="Times New Roman" w:cs="仿宋_GB2312" w:hint="default"/>
          <w:color w:val="auto"/>
          <w:kern w:val="2"/>
          <w:sz w:val="32"/>
          <w:szCs w:val="32"/>
          <w:highlight w:val="none"/>
          <w:lang w:val="en-US" w:eastAsia="zh-CN" w:bidi="ar"/>
        </w:rPr>
        <w:t>，由甲方从</w:t>
      </w:r>
      <w:r>
        <w:rPr>
          <w:rFonts w:ascii="仿宋_GB2312" w:eastAsia="仿宋_GB2312" w:hAnsi="Times New Roman" w:cs="仿宋_GB2312" w:hint="default"/>
          <w:color w:val="auto"/>
          <w:kern w:val="2"/>
          <w:sz w:val="32"/>
          <w:szCs w:val="32"/>
          <w:highlight w:val="none"/>
          <w:u w:val="single"/>
          <w:lang w:val="en-US" w:eastAsia="zh-CN" w:bidi="ar"/>
        </w:rPr>
        <w:t xml:space="preserve"> </w:t>
      </w:r>
      <w:r>
        <w:rPr>
          <w:rFonts w:ascii="仿宋_GB2312" w:eastAsia="仿宋_GB2312" w:hAnsi="Times New Roman" w:cs="仿宋_GB2312" w:hint="eastAsia"/>
          <w:color w:val="auto"/>
          <w:kern w:val="2"/>
          <w:sz w:val="32"/>
          <w:szCs w:val="32"/>
          <w:highlight w:val="none"/>
          <w:u w:val="single"/>
          <w:lang w:val="en-US" w:eastAsia="zh-CN" w:bidi="ar"/>
        </w:rPr>
        <w:t xml:space="preserve">  </w:t>
      </w:r>
      <w:r>
        <w:rPr>
          <w:rFonts w:ascii="仿宋_GB2312" w:eastAsia="仿宋_GB2312" w:hAnsi="Times New Roman" w:cs="仿宋_GB2312" w:hint="default"/>
          <w:color w:val="auto"/>
          <w:kern w:val="2"/>
          <w:sz w:val="32"/>
          <w:szCs w:val="32"/>
          <w:highlight w:val="none"/>
          <w:u w:val="single"/>
          <w:lang w:val="en-US" w:eastAsia="zh-CN" w:bidi="ar"/>
        </w:rPr>
        <w:t xml:space="preserve"> </w:t>
      </w:r>
      <w:r>
        <w:rPr>
          <w:rFonts w:ascii="仿宋_GB2312" w:eastAsia="仿宋_GB2312" w:hAnsi="Times New Roman" w:cs="仿宋_GB2312" w:hint="default"/>
          <w:color w:val="auto"/>
          <w:kern w:val="2"/>
          <w:sz w:val="32"/>
          <w:szCs w:val="32"/>
          <w:highlight w:val="none"/>
          <w:lang w:val="en-US" w:eastAsia="zh-CN" w:bidi="ar"/>
        </w:rPr>
        <w:t xml:space="preserve">小区 </w:t>
      </w:r>
      <w:r>
        <w:rPr>
          <w:rFonts w:ascii="仿宋_GB2312" w:eastAsia="仿宋_GB2312" w:hAnsi="Times New Roman" w:cs="仿宋_GB2312" w:hint="default"/>
          <w:color w:val="auto"/>
          <w:kern w:val="2"/>
          <w:sz w:val="32"/>
          <w:szCs w:val="32"/>
          <w:highlight w:val="none"/>
          <w:u w:val="single"/>
          <w:lang w:val="en-US" w:eastAsia="zh-CN" w:bidi="ar"/>
        </w:rPr>
        <w:t xml:space="preserve"> </w:t>
      </w:r>
      <w:r>
        <w:rPr>
          <w:rFonts w:ascii="仿宋_GB2312" w:eastAsia="仿宋_GB2312" w:hAnsi="Times New Roman" w:cs="仿宋_GB2312" w:hint="eastAsia"/>
          <w:color w:val="auto"/>
          <w:kern w:val="2"/>
          <w:sz w:val="32"/>
          <w:szCs w:val="32"/>
          <w:highlight w:val="none"/>
          <w:u w:val="single"/>
          <w:lang w:val="en-US" w:eastAsia="zh-CN" w:bidi="ar"/>
        </w:rPr>
        <w:t xml:space="preserve">  </w:t>
      </w:r>
      <w:r>
        <w:rPr>
          <w:rFonts w:ascii="仿宋_GB2312" w:eastAsia="仿宋_GB2312" w:hAnsi="Times New Roman" w:cs="仿宋_GB2312" w:hint="default"/>
          <w:color w:val="auto"/>
          <w:kern w:val="2"/>
          <w:sz w:val="32"/>
          <w:szCs w:val="32"/>
          <w:highlight w:val="none"/>
          <w:u w:val="single"/>
          <w:lang w:val="en-US" w:eastAsia="zh-CN" w:bidi="ar"/>
        </w:rPr>
        <w:t xml:space="preserve"> </w:t>
      </w:r>
      <w:r>
        <w:rPr>
          <w:rFonts w:ascii="仿宋_GB2312" w:eastAsia="仿宋_GB2312" w:hAnsi="Times New Roman" w:cs="仿宋_GB2312" w:hint="default"/>
          <w:color w:val="auto"/>
          <w:kern w:val="2"/>
          <w:sz w:val="32"/>
          <w:szCs w:val="32"/>
          <w:highlight w:val="none"/>
          <w:lang w:val="en-US" w:eastAsia="zh-CN" w:bidi="ar"/>
        </w:rPr>
        <w:t>栋</w:t>
      </w:r>
      <w:r>
        <w:rPr>
          <w:rFonts w:ascii="仿宋_GB2312" w:eastAsia="仿宋_GB2312" w:hAnsi="Times New Roman" w:cs="仿宋_GB2312" w:hint="eastAsia"/>
          <w:color w:val="auto"/>
          <w:kern w:val="2"/>
          <w:sz w:val="32"/>
          <w:szCs w:val="32"/>
          <w:highlight w:val="none"/>
          <w:u w:val="single"/>
          <w:lang w:val="en-US" w:eastAsia="zh-CN" w:bidi="ar"/>
        </w:rPr>
        <w:t xml:space="preserve">    </w:t>
      </w:r>
      <w:r>
        <w:rPr>
          <w:rFonts w:ascii="仿宋_GB2312" w:eastAsia="仿宋_GB2312" w:hAnsi="Times New Roman" w:cs="仿宋_GB2312" w:hint="eastAsia"/>
          <w:color w:val="auto"/>
          <w:kern w:val="2"/>
          <w:sz w:val="32"/>
          <w:szCs w:val="32"/>
          <w:highlight w:val="none"/>
          <w:lang w:val="en-US" w:eastAsia="zh-CN" w:bidi="ar"/>
        </w:rPr>
        <w:t>层</w:t>
      </w:r>
      <w:r>
        <w:rPr>
          <w:rFonts w:ascii="仿宋_GB2312" w:eastAsia="仿宋_GB2312" w:hAnsi="Times New Roman" w:cs="仿宋_GB2312" w:hint="default"/>
          <w:color w:val="auto"/>
          <w:kern w:val="2"/>
          <w:sz w:val="32"/>
          <w:szCs w:val="32"/>
          <w:highlight w:val="none"/>
          <w:lang w:val="en-US" w:eastAsia="zh-CN" w:bidi="ar"/>
        </w:rPr>
        <w:t>低压配电箱处向乙方提供。</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二）乙方只能在甲方指定位置接用电源，自行负责电缆及用电计量装置提供和安装，电缆及用电计量装置必须为合格产品，计量装置同时须经法定检测机构检验合格，电缆应符合电力负荷使用标准，并附检验证明及标志。安装完成后，乙方不得随意更换电表，确需更换时需征得甲方的书面同意。</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（三）乙方在用电施工过程中须接受甲方统一管理，不得随意改动和变更甲方用电线路和设备，确有需要的，应向甲方提出书面申请，甲方视实际情况及时给予书面回复，乙方须接受甲方的处理结果。</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（四）乙方为充电设施及相关线路安全责任的第一责任人，由其自行负责充电设施的管理和使用，若因充电设施的使用</w:t>
      </w:r>
      <w:r>
        <w:rPr>
          <w:rFonts w:ascii="仿宋_GB2312" w:eastAsia="仿宋_GB2312" w:hAnsi="Times New Roman" w:cs="仿宋_GB2312" w:hint="eastAsia"/>
          <w:color w:val="auto"/>
          <w:kern w:val="2"/>
          <w:sz w:val="32"/>
          <w:szCs w:val="32"/>
          <w:highlight w:val="none"/>
          <w:lang w:val="en-US" w:eastAsia="zh-CN" w:bidi="ar"/>
        </w:rPr>
        <w:t>对</w:t>
      </w:r>
      <w:r>
        <w:rPr>
          <w:rFonts w:ascii="仿宋_GB2312" w:eastAsia="仿宋_GB2312" w:hAnsi="Times New Roman" w:cs="仿宋_GB2312" w:hint="default"/>
          <w:color w:val="auto"/>
          <w:kern w:val="2"/>
          <w:sz w:val="32"/>
          <w:szCs w:val="32"/>
          <w:highlight w:val="none"/>
          <w:lang w:val="en-US" w:eastAsia="zh-CN" w:bidi="ar"/>
        </w:rPr>
        <w:t>他人造成人身或财产损害，由乙方依法承担赔偿责任，由此</w:t>
      </w:r>
      <w:r>
        <w:rPr>
          <w:rFonts w:ascii="仿宋_GB2312" w:eastAsia="仿宋_GB2312" w:hAnsi="Times New Roman" w:cs="仿宋_GB2312" w:hint="eastAsia"/>
          <w:color w:val="auto"/>
          <w:kern w:val="2"/>
          <w:sz w:val="32"/>
          <w:szCs w:val="32"/>
          <w:highlight w:val="none"/>
          <w:lang w:val="en-US" w:eastAsia="zh-CN" w:bidi="ar"/>
        </w:rPr>
        <w:t>对</w:t>
      </w:r>
      <w:r>
        <w:rPr>
          <w:rFonts w:ascii="仿宋_GB2312" w:eastAsia="仿宋_GB2312" w:hAnsi="Times New Roman" w:cs="仿宋_GB2312" w:hint="default"/>
          <w:color w:val="auto"/>
          <w:kern w:val="2"/>
          <w:sz w:val="32"/>
          <w:szCs w:val="32"/>
          <w:highlight w:val="none"/>
          <w:lang w:val="en-US" w:eastAsia="zh-CN" w:bidi="ar"/>
        </w:rPr>
        <w:t>甲方设备造成损坏的，乙方应按原值或商定的金额赔偿；如有其他责任人乙方同意在赔偿后再向其他责任人进行追偿；乙方购买相关保险的，乙方与保险公司应按照签订的赔偿条款依法承担赔偿责任。</w:t>
      </w:r>
    </w:p>
    <w:p>
      <w:pPr>
        <w:keepNext w:val="0"/>
        <w:keepLines w:val="0"/>
        <w:widowControl w:val="0"/>
        <w:suppressLineNumbers w:val="0"/>
        <w:spacing w:before="0" w:beforeAutospacing="0" w:after="0" w:afterAutospacing="0" w:line="600" w:lineRule="exact"/>
        <w:ind w:left="0" w:right="0" w:firstLine="420" w:firstLineChars="200"/>
        <w:jc w:val="both"/>
        <w:rPr>
          <w:rFonts w:ascii="黑体" w:eastAsia="黑体" w:hAnsi="宋体" w:cs="黑体" w:hint="eastAsia"/>
          <w:color w:val="auto"/>
          <w:kern w:val="2"/>
          <w:sz w:val="32"/>
          <w:szCs w:val="32"/>
          <w:highlight w:val="none"/>
        </w:rPr>
      </w:pPr>
      <w:r>
        <w:rPr>
          <w:rFonts w:ascii="黑体" w:eastAsia="黑体" w:hAnsi="宋体" w:cs="黑体" w:hint="eastAsia"/>
          <w:color w:val="auto"/>
          <w:kern w:val="2"/>
          <w:sz w:val="32"/>
          <w:szCs w:val="32"/>
          <w:highlight w:val="none"/>
          <w:lang w:val="en-US" w:eastAsia="zh-CN" w:bidi="ar"/>
        </w:rPr>
        <w:t>三、供电设施维护管理责任</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（一）管理责任分界点：按照“谁所有、谁负责”的原则进行供电设施及线路管理、运维责任划分。</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（二）甲方、乙方分管的供电设施，除另有约定外，未经对方同意不得操作和变更。如遇紧急情况必须操作时，应及时通知对方。</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（三）在供电设施上发生的法律责任，按供电设施管理责任归属确定。双方应做好各自分管的供电设施的运行维护管理工作，并依法承担相应的责任。</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（四）甲方</w:t>
      </w:r>
      <w:r>
        <w:rPr>
          <w:rFonts w:ascii="仿宋_GB2312" w:eastAsia="仿宋_GB2312" w:hAnsi="Times New Roman" w:cs="仿宋_GB2312" w:hint="eastAsia"/>
          <w:color w:val="auto"/>
          <w:kern w:val="2"/>
          <w:sz w:val="32"/>
          <w:szCs w:val="32"/>
          <w:highlight w:val="none"/>
          <w:lang w:val="en-US" w:eastAsia="zh-CN" w:bidi="ar"/>
        </w:rPr>
        <w:t>应</w:t>
      </w:r>
      <w:r>
        <w:rPr>
          <w:rFonts w:ascii="仿宋_GB2312" w:eastAsia="仿宋_GB2312" w:hAnsi="Times New Roman" w:cs="仿宋_GB2312" w:hint="default"/>
          <w:color w:val="auto"/>
          <w:kern w:val="2"/>
          <w:sz w:val="32"/>
          <w:szCs w:val="32"/>
          <w:highlight w:val="none"/>
          <w:lang w:val="en-US" w:eastAsia="zh-CN" w:bidi="ar"/>
        </w:rPr>
        <w:t>定期开展防火巡查，保障共用消防设施和器材完好有效，确保充电设施不占用公共疏散通道、安全出口、消防车通道，不影响人员疏散。</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（五）乙方</w:t>
      </w:r>
      <w:r>
        <w:rPr>
          <w:rFonts w:ascii="仿宋_GB2312" w:eastAsia="仿宋_GB2312" w:hAnsi="Times New Roman" w:cs="仿宋_GB2312" w:hint="eastAsia"/>
          <w:color w:val="auto"/>
          <w:kern w:val="2"/>
          <w:sz w:val="32"/>
          <w:szCs w:val="32"/>
          <w:highlight w:val="none"/>
          <w:lang w:val="en-US" w:eastAsia="zh-CN" w:bidi="ar"/>
        </w:rPr>
        <w:t>应</w:t>
      </w:r>
      <w:r>
        <w:rPr>
          <w:rFonts w:ascii="仿宋_GB2312" w:eastAsia="仿宋_GB2312" w:hAnsi="Times New Roman" w:cs="仿宋_GB2312" w:hint="default"/>
          <w:color w:val="auto"/>
          <w:kern w:val="2"/>
          <w:sz w:val="32"/>
          <w:szCs w:val="32"/>
          <w:highlight w:val="none"/>
          <w:lang w:val="en-US" w:eastAsia="zh-CN" w:bidi="ar"/>
        </w:rPr>
        <w:t>注意观察充电设施的日常运行情况，发现问题及时维修；甲方对充电基础设施建设及使用中的安全隐患有发现、制止、报告的义务。</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（六）乙方不再需要使用充电设施时，应及时拆除充电设施。充电设施需拆除或者迁移位置，乙方须向甲方报备，到供电营业厅办理相关手续，聘请有资质的企业进行操作，监督安全施工，并接受甲方对施工</w:t>
      </w:r>
      <w:r>
        <w:rPr>
          <w:rFonts w:ascii="仿宋_GB2312" w:eastAsia="仿宋_GB2312" w:hAnsi="Times New Roman" w:cs="仿宋_GB2312" w:hint="eastAsia"/>
          <w:color w:val="auto"/>
          <w:kern w:val="2"/>
          <w:sz w:val="32"/>
          <w:szCs w:val="32"/>
          <w:highlight w:val="none"/>
          <w:lang w:val="en-US" w:eastAsia="zh-CN" w:bidi="ar"/>
        </w:rPr>
        <w:t>有关方面</w:t>
      </w:r>
      <w:r>
        <w:rPr>
          <w:rFonts w:ascii="仿宋_GB2312" w:eastAsia="仿宋_GB2312" w:hAnsi="Times New Roman" w:cs="仿宋_GB2312" w:hint="default"/>
          <w:color w:val="auto"/>
          <w:kern w:val="2"/>
          <w:sz w:val="32"/>
          <w:szCs w:val="32"/>
          <w:highlight w:val="none"/>
          <w:lang w:val="en-US" w:eastAsia="zh-CN" w:bidi="ar"/>
        </w:rPr>
        <w:t>的资质核查。充电设施拆除或迁移的费用由乙方承担。</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黑体" w:eastAsia="黑体" w:hAnsi="宋体" w:cs="黑体" w:hint="eastAsia"/>
          <w:color w:val="auto"/>
          <w:kern w:val="2"/>
          <w:sz w:val="32"/>
          <w:szCs w:val="32"/>
          <w:highlight w:val="none"/>
          <w:lang w:val="en-US" w:eastAsia="zh-CN" w:bidi="ar"/>
        </w:rPr>
        <w:t>四、用电费用及结算方式</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乙方未向供电企业直接报装接电的，甲方应明确告知用电性质和电价标准，按计量装置的记录数据向乙方收取费用，费用收取应符合转供电有关规定。乙方应于次月底前缴清上月电费，否则甲方有权按日收取乙方拖欠电费总额</w:t>
      </w:r>
      <w:r>
        <w:rPr>
          <w:rFonts w:ascii="仿宋_GB2312" w:eastAsia="仿宋_GB2312" w:hAnsi="Times New Roman" w:cs="仿宋_GB2312" w:hint="default"/>
          <w:color w:val="auto"/>
          <w:kern w:val="2"/>
          <w:sz w:val="32"/>
          <w:szCs w:val="32"/>
          <w:highlight w:val="none"/>
          <w:u w:val="single"/>
          <w:lang w:val="en-US" w:eastAsia="zh-CN" w:bidi="ar"/>
        </w:rPr>
        <w:t xml:space="preserve">     </w:t>
      </w:r>
      <w:r>
        <w:rPr>
          <w:rFonts w:ascii="仿宋_GB2312" w:eastAsia="仿宋_GB2312" w:hAnsi="Times New Roman" w:cs="仿宋_GB2312" w:hint="default"/>
          <w:color w:val="auto"/>
          <w:kern w:val="2"/>
          <w:sz w:val="32"/>
          <w:szCs w:val="32"/>
          <w:highlight w:val="none"/>
          <w:lang w:val="en-US" w:eastAsia="zh-CN" w:bidi="ar"/>
        </w:rPr>
        <w:t>的违约金。</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黑体" w:eastAsia="黑体" w:hAnsi="宋体" w:cs="黑体" w:hint="eastAsia"/>
          <w:color w:val="auto"/>
          <w:kern w:val="2"/>
          <w:sz w:val="32"/>
          <w:szCs w:val="32"/>
          <w:highlight w:val="none"/>
          <w:lang w:val="en-US" w:eastAsia="zh-CN" w:bidi="ar"/>
        </w:rPr>
        <w:t>五、其他</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（一）乙方应按照规定进行充电设施报装申请，最终通过属地供电企业审核后，乙方才能组织安装单位进场。</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（二）有利害关系业主提出需拆除乙方充电设施时，由乙方负责沟通解决，甲方应协助双方沟通。</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（三）相关部门认为充电设施不利于本小区的整体安全或发现充电设施存在安全隐患时要求整改，在整改期间和整改未达标时，甲方有权配合相关部门基于安全角度作出的整改要求，停止充电设施供电。</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（四）双方就协议执行存在争议的，可通过以下第</w:t>
      </w:r>
      <w:r>
        <w:rPr>
          <w:rFonts w:ascii="仿宋_GB2312" w:eastAsia="仿宋_GB2312" w:hAnsi="Times New Roman" w:cs="仿宋_GB2312" w:hint="default"/>
          <w:color w:val="auto"/>
          <w:kern w:val="2"/>
          <w:sz w:val="32"/>
          <w:szCs w:val="32"/>
          <w:highlight w:val="none"/>
          <w:u w:val="single"/>
          <w:lang w:val="en-US" w:eastAsia="zh-CN" w:bidi="ar"/>
        </w:rPr>
        <w:t xml:space="preserve">    </w:t>
      </w:r>
      <w:r>
        <w:rPr>
          <w:rFonts w:ascii="仿宋_GB2312" w:eastAsia="仿宋_GB2312" w:hAnsi="Times New Roman" w:cs="仿宋_GB2312" w:hint="default"/>
          <w:color w:val="auto"/>
          <w:kern w:val="2"/>
          <w:sz w:val="32"/>
          <w:szCs w:val="32"/>
          <w:highlight w:val="none"/>
          <w:lang w:val="en-US" w:eastAsia="zh-CN" w:bidi="ar"/>
        </w:rPr>
        <w:t>项方式解决：</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1.向</w:t>
      </w:r>
      <w:r>
        <w:rPr>
          <w:rFonts w:ascii="仿宋_GB2312" w:eastAsia="仿宋_GB2312" w:hAnsi="Times New Roman" w:cs="仿宋_GB2312" w:hint="eastAsia"/>
          <w:color w:val="auto"/>
          <w:kern w:val="2"/>
          <w:sz w:val="32"/>
          <w:szCs w:val="32"/>
          <w:highlight w:val="none"/>
          <w:u w:val="single"/>
          <w:lang w:val="en-US" w:eastAsia="zh-CN" w:bidi="ar"/>
        </w:rPr>
        <w:t xml:space="preserve">   </w:t>
      </w:r>
      <w:r>
        <w:rPr>
          <w:rFonts w:ascii="仿宋_GB2312" w:eastAsia="仿宋_GB2312" w:hAnsi="Times New Roman" w:cs="仿宋_GB2312" w:hint="default"/>
          <w:color w:val="auto"/>
          <w:kern w:val="2"/>
          <w:sz w:val="32"/>
          <w:szCs w:val="32"/>
          <w:highlight w:val="none"/>
          <w:lang w:val="en-US" w:eastAsia="zh-CN" w:bidi="ar"/>
        </w:rPr>
        <w:t>仲裁委员会</w:t>
      </w:r>
      <w:r>
        <w:rPr>
          <w:rFonts w:ascii="仿宋_GB2312" w:eastAsia="仿宋_GB2312" w:hAnsi="Times New Roman" w:cs="仿宋_GB2312" w:hint="eastAsia"/>
          <w:color w:val="auto"/>
          <w:kern w:val="2"/>
          <w:sz w:val="32"/>
          <w:szCs w:val="32"/>
          <w:highlight w:val="none"/>
          <w:lang w:val="en-US" w:eastAsia="zh-CN" w:bidi="ar"/>
        </w:rPr>
        <w:t>（</w:t>
      </w:r>
      <w:r>
        <w:rPr>
          <w:rFonts w:ascii="仿宋_GB2312" w:eastAsia="仿宋_GB2312" w:hAnsi="Times New Roman" w:cs="仿宋_GB2312" w:hint="default"/>
          <w:color w:val="auto"/>
          <w:kern w:val="2"/>
          <w:sz w:val="32"/>
          <w:szCs w:val="32"/>
          <w:highlight w:val="none"/>
          <w:lang w:val="en-US" w:eastAsia="zh-CN" w:bidi="ar"/>
        </w:rPr>
        <w:t>具体的仲裁委员会名称</w:t>
      </w:r>
      <w:r>
        <w:rPr>
          <w:rFonts w:ascii="仿宋_GB2312" w:eastAsia="仿宋_GB2312" w:hAnsi="Times New Roman" w:cs="仿宋_GB2312" w:hint="eastAsia"/>
          <w:color w:val="auto"/>
          <w:kern w:val="2"/>
          <w:sz w:val="32"/>
          <w:szCs w:val="32"/>
          <w:highlight w:val="none"/>
          <w:lang w:val="en-US" w:eastAsia="zh-CN" w:bidi="ar"/>
        </w:rPr>
        <w:t>）</w:t>
      </w:r>
      <w:r>
        <w:rPr>
          <w:rFonts w:ascii="仿宋_GB2312" w:eastAsia="仿宋_GB2312" w:hAnsi="Times New Roman" w:cs="仿宋_GB2312" w:hint="default"/>
          <w:color w:val="auto"/>
          <w:kern w:val="2"/>
          <w:sz w:val="32"/>
          <w:szCs w:val="32"/>
          <w:highlight w:val="none"/>
          <w:lang w:val="en-US" w:eastAsia="zh-CN" w:bidi="ar"/>
        </w:rPr>
        <w:t>提起仲裁。</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2.向人民法院提起诉讼。</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本协议一式叁份，甲方贰份、乙方壹份，具有同等法律效力。</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 xml:space="preserve"> </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 xml:space="preserve"> </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 xml:space="preserve"> </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甲方（盖章）：              乙方</w:t>
      </w:r>
      <w:r>
        <w:rPr>
          <w:rFonts w:ascii="仿宋_GB2312" w:eastAsia="仿宋_GB2312" w:hAnsi="Times New Roman" w:cs="仿宋_GB2312" w:hint="eastAsia"/>
          <w:color w:val="auto"/>
          <w:kern w:val="2"/>
          <w:sz w:val="32"/>
          <w:szCs w:val="32"/>
          <w:highlight w:val="none"/>
          <w:lang w:val="en-US" w:eastAsia="zh-CN" w:bidi="ar"/>
        </w:rPr>
        <w:t>（签字）</w:t>
      </w:r>
      <w:r>
        <w:rPr>
          <w:rFonts w:ascii="仿宋_GB2312" w:eastAsia="仿宋_GB2312" w:hAnsi="Times New Roman" w:cs="仿宋_GB2312" w:hint="default"/>
          <w:color w:val="auto"/>
          <w:kern w:val="2"/>
          <w:sz w:val="32"/>
          <w:szCs w:val="32"/>
          <w:highlight w:val="none"/>
          <w:lang w:val="en-US" w:eastAsia="zh-CN" w:bidi="ar"/>
        </w:rPr>
        <w:t>：</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 xml:space="preserve"> </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经办人：                   身份证号：</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 xml:space="preserve"> </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联系电话：                 联系电话：</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cs="仿宋_GB2312"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 xml:space="preserve"> </w:t>
      </w:r>
    </w:p>
    <w:p>
      <w:pPr>
        <w:keepNext w:val="0"/>
        <w:keepLines w:val="0"/>
        <w:widowControl w:val="0"/>
        <w:suppressLineNumbers w:val="0"/>
        <w:spacing w:before="0" w:beforeAutospacing="0" w:after="0" w:afterAutospacing="0" w:line="600" w:lineRule="exact"/>
        <w:ind w:left="0" w:right="0" w:firstLine="420" w:firstLineChars="200"/>
        <w:jc w:val="both"/>
        <w:rPr>
          <w:rFonts w:ascii="Times New Roman" w:eastAsia="仿宋_GB2312" w:hAnsi="Times New Roman" w:cs="Times New Roman" w:hint="default"/>
          <w:color w:val="auto"/>
          <w:kern w:val="2"/>
          <w:sz w:val="32"/>
          <w:szCs w:val="32"/>
          <w:highlight w:val="none"/>
        </w:rPr>
      </w:pPr>
      <w:r>
        <w:rPr>
          <w:rFonts w:ascii="仿宋_GB2312" w:eastAsia="仿宋_GB2312" w:hAnsi="Times New Roman" w:cs="仿宋_GB2312" w:hint="default"/>
          <w:color w:val="auto"/>
          <w:kern w:val="2"/>
          <w:sz w:val="32"/>
          <w:szCs w:val="32"/>
          <w:highlight w:val="none"/>
          <w:lang w:val="en-US" w:eastAsia="zh-CN" w:bidi="ar"/>
        </w:rPr>
        <w:t>日期：  年  月  日         日期：  年  月  日</w:t>
      </w:r>
    </w:p>
    <w:p>
      <w:pPr>
        <w:jc w:val="left"/>
        <w:rPr>
          <w:rFonts w:ascii="黑体" w:eastAsia="黑体" w:hAnsi="黑体" w:cs="黑体" w:hint="eastAsia"/>
          <w:color w:val="auto"/>
          <w:sz w:val="32"/>
          <w:szCs w:val="32"/>
          <w:highlight w:val="none"/>
          <w:lang w:eastAsia="zh-CN"/>
        </w:rPr>
      </w:pPr>
    </w:p>
    <w:p>
      <w:pPr>
        <w:pStyle w:val="BodyText"/>
        <w:rPr>
          <w:rFonts w:ascii="黑体" w:eastAsia="黑体" w:hAnsi="黑体" w:cs="黑体" w:hint="eastAsia"/>
          <w:color w:val="auto"/>
          <w:sz w:val="32"/>
          <w:szCs w:val="32"/>
          <w:highlight w:val="none"/>
          <w:lang w:eastAsia="zh-CN"/>
        </w:rPr>
      </w:pPr>
    </w:p>
    <w:p>
      <w:pPr>
        <w:pStyle w:val="Title"/>
        <w:rPr>
          <w:rFonts w:ascii="黑体" w:eastAsia="黑体" w:hAnsi="黑体" w:cs="黑体" w:hint="eastAsia"/>
          <w:color w:val="auto"/>
          <w:sz w:val="32"/>
          <w:szCs w:val="32"/>
          <w:highlight w:val="none"/>
          <w:lang w:eastAsia="zh-CN"/>
        </w:rPr>
      </w:pPr>
    </w:p>
    <w:p>
      <w:pPr>
        <w:rPr>
          <w:rFonts w:ascii="黑体" w:eastAsia="黑体" w:hAnsi="黑体" w:cs="黑体" w:hint="eastAsia"/>
          <w:color w:val="auto"/>
          <w:sz w:val="32"/>
          <w:szCs w:val="32"/>
          <w:highlight w:val="none"/>
          <w:lang w:eastAsia="zh-CN"/>
        </w:rPr>
      </w:pPr>
    </w:p>
    <w:p>
      <w:pPr>
        <w:jc w:val="left"/>
        <w:rPr>
          <w:rFonts w:ascii="黑体" w:eastAsia="黑体" w:hAnsi="黑体" w:cs="黑体" w:hint="eastAsia"/>
          <w:color w:val="auto"/>
          <w:sz w:val="32"/>
          <w:szCs w:val="32"/>
          <w:highlight w:val="none"/>
          <w:lang w:eastAsia="zh-CN"/>
        </w:rPr>
      </w:pPr>
    </w:p>
    <w:p>
      <w:pPr>
        <w:pStyle w:val="Title"/>
        <w:jc w:val="both"/>
        <w:rPr>
          <w:rFonts w:ascii="方正小标宋_GBK" w:eastAsia="方正小标宋_GBK" w:hAnsi="方正小标宋_GBK" w:cs="方正小标宋_GBK" w:hint="eastAsia"/>
          <w:color w:val="auto"/>
          <w:sz w:val="32"/>
          <w:szCs w:val="32"/>
          <w:highlight w:val="none"/>
          <w:lang w:val="en-US" w:eastAsia="zh-CN"/>
        </w:rPr>
      </w:pPr>
      <w:r>
        <w:rPr>
          <w:rFonts w:ascii="黑体" w:eastAsia="黑体" w:hAnsi="黑体" w:cs="黑体" w:hint="eastAsia"/>
          <w:color w:val="auto"/>
          <w:sz w:val="32"/>
          <w:szCs w:val="32"/>
          <w:lang w:val="en-US" w:eastAsia="zh-CN"/>
        </w:rPr>
        <w:t>附录5</w:t>
      </w:r>
    </w:p>
    <w:p>
      <w:pPr>
        <w:keepNext w:val="0"/>
        <w:keepLines w:val="0"/>
        <w:widowControl w:val="0"/>
        <w:suppressLineNumbers w:val="0"/>
        <w:spacing w:before="0" w:beforeAutospacing="0" w:after="0" w:afterAutospacing="0" w:line="600" w:lineRule="exact"/>
        <w:ind w:left="0" w:right="0"/>
        <w:jc w:val="center"/>
        <w:rPr>
          <w:rFonts w:ascii="方正小标宋简体" w:eastAsia="方正小标宋简体" w:hAnsi="方正小标宋简体" w:cs="方正小标宋简体" w:hint="eastAsia"/>
          <w:color w:val="auto"/>
          <w:kern w:val="2"/>
          <w:sz w:val="40"/>
          <w:szCs w:val="40"/>
          <w:highlight w:val="none"/>
          <w:lang w:val="en-US" w:eastAsia="zh-CN" w:bidi="ar"/>
        </w:rPr>
      </w:pPr>
    </w:p>
    <w:p>
      <w:pPr>
        <w:keepNext w:val="0"/>
        <w:keepLines w:val="0"/>
        <w:widowControl w:val="0"/>
        <w:suppressLineNumbers w:val="0"/>
        <w:spacing w:before="0" w:beforeAutospacing="0" w:after="0" w:afterAutospacing="0" w:line="600" w:lineRule="exact"/>
        <w:ind w:left="0" w:right="0"/>
        <w:jc w:val="center"/>
        <w:rPr>
          <w:rFonts w:ascii="方正小标宋简体" w:eastAsia="方正小标宋简体" w:hAnsi="方正小标宋简体" w:cs="方正小标宋简体" w:hint="eastAsia"/>
          <w:color w:val="auto"/>
          <w:kern w:val="2"/>
          <w:sz w:val="40"/>
          <w:szCs w:val="40"/>
          <w:highlight w:val="none"/>
          <w:lang w:val="en-US" w:eastAsia="zh-CN" w:bidi="ar"/>
        </w:rPr>
      </w:pPr>
      <w:r>
        <w:rPr>
          <w:rFonts w:ascii="方正小标宋简体" w:eastAsia="方正小标宋简体" w:hAnsi="方正小标宋简体" w:cs="方正小标宋简体" w:hint="eastAsia"/>
          <w:color w:val="auto"/>
          <w:kern w:val="2"/>
          <w:sz w:val="40"/>
          <w:szCs w:val="40"/>
          <w:highlight w:val="none"/>
          <w:lang w:val="en-US" w:eastAsia="zh-CN" w:bidi="ar"/>
        </w:rPr>
        <w:t>XX小区新能源汽车充电设施电力接入说明</w:t>
      </w:r>
    </w:p>
    <w:p>
      <w:pPr>
        <w:keepNext w:val="0"/>
        <w:keepLines w:val="0"/>
        <w:widowControl w:val="0"/>
        <w:suppressLineNumbers w:val="0"/>
        <w:spacing w:before="0" w:beforeAutospacing="0" w:after="0" w:afterAutospacing="0" w:line="600" w:lineRule="exact"/>
        <w:ind w:left="0" w:right="0"/>
        <w:jc w:val="center"/>
        <w:rPr>
          <w:rFonts w:ascii="方正小标宋简体" w:eastAsia="方正小标宋简体" w:hAnsi="方正小标宋简体" w:cs="方正小标宋简体" w:hint="eastAsia"/>
          <w:color w:val="auto"/>
          <w:kern w:val="2"/>
          <w:sz w:val="40"/>
          <w:szCs w:val="40"/>
          <w:highlight w:val="none"/>
          <w:lang w:val="en-US" w:eastAsia="zh-CN" w:bidi="ar"/>
        </w:rPr>
      </w:pPr>
      <w:r>
        <w:rPr>
          <w:rFonts w:ascii="方正小标宋简体" w:eastAsia="方正小标宋简体" w:hAnsi="方正小标宋简体" w:cs="方正小标宋简体" w:hint="eastAsia"/>
          <w:color w:val="auto"/>
          <w:kern w:val="2"/>
          <w:sz w:val="40"/>
          <w:szCs w:val="40"/>
          <w:highlight w:val="none"/>
          <w:lang w:val="en-US" w:eastAsia="zh-CN" w:bidi="ar"/>
        </w:rPr>
        <w:t>（适用运营商报装）</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hAnsi="Times New Roman" w:cs="仿宋_GB2312" w:hint="eastAsia"/>
          <w:color w:val="auto"/>
          <w:kern w:val="2"/>
          <w:sz w:val="32"/>
          <w:szCs w:val="32"/>
          <w:highlight w:val="none"/>
          <w:lang w:val="en-US" w:eastAsia="zh-CN" w:bidi="ar"/>
        </w:rPr>
      </w:pP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hAnsi="Times New Roman" w:cs="仿宋_GB2312" w:hint="eastAsia"/>
          <w:color w:val="auto"/>
          <w:kern w:val="2"/>
          <w:sz w:val="32"/>
          <w:szCs w:val="32"/>
          <w:highlight w:val="none"/>
          <w:lang w:val="en-US" w:eastAsia="zh-CN" w:bidi="ar"/>
        </w:rPr>
      </w:pPr>
      <w:r>
        <w:rPr>
          <w:rFonts w:ascii="仿宋_GB2312" w:eastAsia="仿宋_GB2312" w:hAnsi="Times New Roman" w:cs="仿宋_GB2312" w:hint="eastAsia"/>
          <w:color w:val="auto"/>
          <w:kern w:val="2"/>
          <w:sz w:val="32"/>
          <w:szCs w:val="32"/>
          <w:highlight w:val="none"/>
          <w:lang w:val="en-US" w:eastAsia="zh-CN" w:bidi="ar"/>
        </w:rPr>
        <w:t>______供电局（供电公司）：</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hAnsi="Times New Roman" w:cs="仿宋_GB2312" w:hint="eastAsia"/>
          <w:color w:val="auto"/>
          <w:kern w:val="2"/>
          <w:sz w:val="32"/>
          <w:szCs w:val="32"/>
          <w:highlight w:val="none"/>
          <w:lang w:val="en-US" w:eastAsia="zh-CN" w:bidi="ar"/>
        </w:rPr>
      </w:pPr>
      <w:r>
        <w:rPr>
          <w:rFonts w:ascii="仿宋_GB2312" w:eastAsia="仿宋_GB2312" w:hAnsi="Times New Roman" w:cs="仿宋_GB2312" w:hint="eastAsia"/>
          <w:color w:val="auto"/>
          <w:kern w:val="2"/>
          <w:sz w:val="32"/>
          <w:szCs w:val="32"/>
          <w:highlight w:val="none"/>
          <w:lang w:val="en-US" w:eastAsia="zh-CN" w:bidi="ar"/>
        </w:rPr>
        <w:t>我方允许（运营商全称）在（充电设施安装位置）建设新能源充电设施和增设相关电力设备。</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hAnsi="Times New Roman" w:cs="仿宋_GB2312" w:hint="eastAsia"/>
          <w:color w:val="auto"/>
          <w:kern w:val="2"/>
          <w:sz w:val="32"/>
          <w:szCs w:val="32"/>
          <w:highlight w:val="none"/>
          <w:lang w:val="en-US" w:eastAsia="zh-CN" w:bidi="ar"/>
        </w:rPr>
      </w:pPr>
      <w:r>
        <w:rPr>
          <w:rFonts w:ascii="仿宋_GB2312" w:eastAsia="仿宋_GB2312" w:hAnsi="Times New Roman" w:cs="仿宋_GB2312" w:hint="eastAsia"/>
          <w:color w:val="auto"/>
          <w:kern w:val="2"/>
          <w:sz w:val="32"/>
          <w:szCs w:val="32"/>
          <w:highlight w:val="none"/>
          <w:lang w:val="en-US" w:eastAsia="zh-CN" w:bidi="ar"/>
        </w:rPr>
        <w:t>特此说明。</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hAnsi="Times New Roman" w:cs="仿宋_GB2312" w:hint="eastAsia"/>
          <w:color w:val="auto"/>
          <w:kern w:val="2"/>
          <w:sz w:val="32"/>
          <w:szCs w:val="32"/>
          <w:highlight w:val="none"/>
          <w:lang w:val="en-US" w:eastAsia="zh-CN" w:bidi="ar"/>
        </w:rPr>
      </w:pP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hAnsi="Times New Roman" w:cs="仿宋_GB2312" w:hint="eastAsia"/>
          <w:color w:val="auto"/>
          <w:kern w:val="2"/>
          <w:sz w:val="32"/>
          <w:szCs w:val="32"/>
          <w:highlight w:val="none"/>
          <w:lang w:val="en-US" w:eastAsia="zh-CN" w:bidi="ar"/>
        </w:rPr>
      </w:pP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hAnsi="Times New Roman" w:cs="仿宋_GB2312" w:hint="eastAsia"/>
          <w:color w:val="auto"/>
          <w:kern w:val="2"/>
          <w:sz w:val="32"/>
          <w:szCs w:val="32"/>
          <w:highlight w:val="none"/>
          <w:lang w:val="en-US" w:eastAsia="zh-CN" w:bidi="ar"/>
        </w:rPr>
      </w:pPr>
      <w:r>
        <w:rPr>
          <w:rFonts w:ascii="仿宋_GB2312" w:eastAsia="仿宋_GB2312" w:hAnsi="Times New Roman" w:cs="仿宋_GB2312" w:hint="eastAsia"/>
          <w:color w:val="auto"/>
          <w:kern w:val="2"/>
          <w:sz w:val="32"/>
          <w:szCs w:val="32"/>
          <w:highlight w:val="none"/>
          <w:lang w:val="en-US" w:eastAsia="zh-CN" w:bidi="ar"/>
        </w:rPr>
        <w:t xml:space="preserve">                       物业服务人（盖章）：</w:t>
      </w:r>
    </w:p>
    <w:p>
      <w:pPr>
        <w:keepNext w:val="0"/>
        <w:keepLines w:val="0"/>
        <w:widowControl w:val="0"/>
        <w:suppressLineNumbers w:val="0"/>
        <w:spacing w:before="0" w:beforeAutospacing="0" w:after="0" w:afterAutospacing="0" w:line="600" w:lineRule="exact"/>
        <w:ind w:left="0" w:right="0" w:firstLine="420" w:firstLineChars="200"/>
        <w:jc w:val="both"/>
        <w:rPr>
          <w:rFonts w:ascii="仿宋_GB2312" w:eastAsia="仿宋_GB2312" w:hAnsi="Times New Roman" w:cs="仿宋_GB2312" w:hint="eastAsia"/>
          <w:color w:val="auto"/>
          <w:kern w:val="2"/>
          <w:sz w:val="32"/>
          <w:szCs w:val="32"/>
          <w:highlight w:val="none"/>
          <w:lang w:val="en-US" w:eastAsia="zh-CN" w:bidi="ar"/>
        </w:rPr>
      </w:pPr>
      <w:r>
        <w:rPr>
          <w:rFonts w:ascii="仿宋_GB2312" w:eastAsia="仿宋_GB2312" w:hAnsi="Times New Roman" w:cs="仿宋_GB2312" w:hint="eastAsia"/>
          <w:color w:val="auto"/>
          <w:kern w:val="2"/>
          <w:sz w:val="32"/>
          <w:szCs w:val="32"/>
          <w:highlight w:val="none"/>
          <w:lang w:val="en-US" w:eastAsia="zh-CN" w:bidi="ar"/>
        </w:rPr>
        <w:t xml:space="preserve">                       XXXX年XX月XX日</w:t>
      </w:r>
    </w:p>
    <w:p>
      <w:pPr>
        <w:jc w:val="left"/>
        <w:rPr>
          <w:rFonts w:ascii="黑体" w:eastAsia="黑体" w:hAnsi="黑体" w:cs="黑体" w:hint="eastAsia"/>
          <w:color w:val="auto"/>
          <w:sz w:val="32"/>
          <w:szCs w:val="32"/>
          <w:highlight w:val="none"/>
          <w:lang w:eastAsia="zh-CN"/>
        </w:rPr>
      </w:pPr>
    </w:p>
    <w:p>
      <w:pPr>
        <w:jc w:val="left"/>
        <w:rPr>
          <w:rFonts w:ascii="黑体" w:eastAsia="黑体" w:hAnsi="黑体" w:cs="黑体" w:hint="eastAsia"/>
          <w:color w:val="auto"/>
          <w:sz w:val="32"/>
          <w:szCs w:val="32"/>
          <w:highlight w:val="none"/>
        </w:rPr>
      </w:pPr>
    </w:p>
    <w:p>
      <w:pPr>
        <w:jc w:val="left"/>
        <w:rPr>
          <w:rFonts w:ascii="黑体" w:eastAsia="黑体" w:hAnsi="黑体" w:cs="黑体" w:hint="eastAsia"/>
          <w:color w:val="auto"/>
          <w:sz w:val="32"/>
          <w:szCs w:val="32"/>
          <w:highlight w:val="none"/>
        </w:rPr>
      </w:pPr>
    </w:p>
    <w:p>
      <w:pPr>
        <w:jc w:val="left"/>
        <w:rPr>
          <w:rFonts w:ascii="黑体" w:eastAsia="黑体" w:hAnsi="黑体" w:cs="黑体" w:hint="eastAsia"/>
          <w:color w:val="auto"/>
          <w:sz w:val="32"/>
          <w:szCs w:val="32"/>
          <w:highlight w:val="none"/>
        </w:rPr>
      </w:pPr>
    </w:p>
    <w:p>
      <w:pPr>
        <w:jc w:val="left"/>
        <w:rPr>
          <w:rFonts w:ascii="黑体" w:eastAsia="黑体" w:hAnsi="黑体" w:cs="黑体" w:hint="eastAsia"/>
          <w:color w:val="auto"/>
          <w:sz w:val="32"/>
          <w:szCs w:val="32"/>
          <w:highlight w:val="none"/>
        </w:rPr>
      </w:pPr>
    </w:p>
    <w:p/>
    <w:p>
      <w:pPr>
        <w:pStyle w:val="BodyText"/>
      </w:pPr>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方正大黑简体">
    <w:altName w:val="黑体"/>
    <w:panose1 w:val="03000509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ImpTraceLabel" o:spid="_x0000_s2049" type="#_x0000_t202" style="height:0;margin-left:0;margin-top:0;mso-position-horizontal-relative:page;mso-position-vertical-relative:page;position:absolute;width:0;z-index:251658240" filled="f" stroked="f">
          <v:path strokeok="f" textboxrect="0,0,21600,21600"/>
          <v:textbox>
            <w:txbxContent>
              <w:p>
                <w:r>
                  <w:t>ImpTraceLabel=PD94bWwgdmVyc2lvbj0nMS4wJyBlbmNvZGluZz0nVVRGLTgnPz48dHJhY2U+PGNvbnRlbnQ+PC9jb250ZW50PjxhY2NvdW50Pno5NDNlNTQzN3dkMGs1a2txOW1ta3Q8L2FjY291bnQ+PG1hY2hpbmVDb2RlPkxDVDg5NkowMTEzODAKPC9tYWNoaW5lQ29kZT48dGltZT4yMDI0LTA4LTMwIDEwOjM0OjUyPC90aW1lPjxzeXN0ZW0+TUI8c3lzdGVtPjwvdHJhY2U+</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3DE53CB"/>
    <w:multiLevelType w:val="multilevel"/>
    <w:tmpl w:val="43DE53CB"/>
    <w:lvl w:ilvl="0">
      <w:start w:val="1"/>
      <w:numFmt w:val="decimal"/>
      <w:pStyle w:val="yq1"/>
      <w:lvlText w:val="%1 "/>
      <w:lvlJc w:val="left"/>
      <w:pPr>
        <w:ind w:left="425" w:hanging="425"/>
      </w:pPr>
      <w:rPr>
        <w:rFonts w:ascii="黑体" w:eastAsia="黑体" w:hAnsi="黑体" w:hint="eastAsia"/>
      </w:rPr>
    </w:lvl>
    <w:lvl w:ilvl="1">
      <w:start w:val="1"/>
      <w:numFmt w:val="decimal"/>
      <w:lvlText w:val="%1.%2 "/>
      <w:lvlJc w:val="left"/>
      <w:pPr>
        <w:ind w:left="992" w:hanging="567"/>
      </w:pPr>
      <w:rPr>
        <w:rFonts w:hint="eastAsia"/>
      </w:rPr>
    </w:lvl>
    <w:lvl w:ilvl="2">
      <w:start w:val="1"/>
      <w:numFmt w:val="decimal"/>
      <w:lvlText w:val="%1.%2.%3"/>
      <w:lvlJc w:val="left"/>
      <w:pPr>
        <w:ind w:left="1418" w:hanging="1021"/>
      </w:pPr>
      <w:rPr>
        <w:rFonts w:hint="eastAsia"/>
      </w:rPr>
    </w:lvl>
    <w:lvl w:ilvl="3">
      <w:start w:val="1"/>
      <w:numFmt w:val="decimal"/>
      <w:lvlText w:val="%1.%2.%3.%4"/>
      <w:lvlJc w:val="left"/>
      <w:pPr>
        <w:ind w:left="1984" w:hanging="153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657D3FBC"/>
    <w:multiLevelType w:val="multilevel"/>
    <w:tmpl w:val="657D3FBC"/>
    <w:lvl w:ilvl="0">
      <w:start w:val="1"/>
      <w:numFmt w:val="upperLetter"/>
      <w:suff w:val="nothing"/>
      <w:lvlText w:val="附录  %1"/>
      <w:lvlJc w:val="left"/>
      <w:pPr>
        <w:ind w:left="0" w:firstLine="0"/>
      </w:pPr>
      <w:rPr>
        <w:rFonts w:ascii="黑体" w:eastAsia="黑体" w:hAnsi="Times New Roman" w:hint="eastAsia"/>
        <w:b/>
        <w:i w:val="0"/>
        <w:sz w:val="21"/>
      </w:rPr>
    </w:lvl>
    <w:lvl w:ilvl="1">
      <w:start w:val="1"/>
      <w:numFmt w:val="decimal"/>
      <w:pStyle w:val="a"/>
      <w:suff w:val="nothing"/>
      <w:lvlText w:val="%1.%2　"/>
      <w:lvlJc w:val="left"/>
      <w:pPr>
        <w:ind w:left="0" w:firstLine="0"/>
      </w:pPr>
      <w:rPr>
        <w:rFonts w:ascii="黑体" w:eastAsia="黑体" w:hAnsi="Times New Roman" w:hint="eastAsia"/>
        <w:b/>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i w:val="0"/>
        <w:sz w:val="21"/>
      </w:rPr>
    </w:lvl>
    <w:lvl w:ilvl="3">
      <w:start w:val="1"/>
      <w:numFmt w:val="decimal"/>
      <w:suff w:val="nothing"/>
      <w:lvlText w:val="%1.%2.%3.%4　"/>
      <w:lvlJc w:val="left"/>
      <w:pPr>
        <w:ind w:left="0" w:firstLine="0"/>
      </w:pPr>
      <w:rPr>
        <w:rFonts w:ascii="黑体" w:eastAsia="黑体" w:hAnsi="Times New Roman" w:hint="eastAsia"/>
        <w:b/>
        <w:i w:val="0"/>
        <w:sz w:val="21"/>
      </w:rPr>
    </w:lvl>
    <w:lvl w:ilvl="4">
      <w:start w:val="1"/>
      <w:numFmt w:val="decimal"/>
      <w:suff w:val="nothing"/>
      <w:lvlText w:val="%1.%2.%3.%4.%5　"/>
      <w:lvlJc w:val="left"/>
      <w:pPr>
        <w:ind w:left="0" w:firstLine="0"/>
      </w:pPr>
      <w:rPr>
        <w:rFonts w:ascii="黑体" w:eastAsia="黑体" w:hAnsi="Times New Roman" w:hint="eastAsia"/>
        <w:b/>
        <w:i w:val="0"/>
        <w:sz w:val="21"/>
      </w:rPr>
    </w:lvl>
    <w:lvl w:ilvl="5">
      <w:start w:val="1"/>
      <w:numFmt w:val="decimal"/>
      <w:suff w:val="nothing"/>
      <w:lvlText w:val="%1.%2.%3.%4.%5.%6　"/>
      <w:lvlJc w:val="left"/>
      <w:pPr>
        <w:ind w:left="0" w:firstLine="0"/>
      </w:pPr>
      <w:rPr>
        <w:rFonts w:ascii="黑体" w:eastAsia="黑体" w:hAnsi="Times New Roman" w:hint="eastAsia"/>
        <w:b/>
        <w:i w:val="0"/>
        <w:sz w:val="21"/>
      </w:rPr>
    </w:lvl>
    <w:lvl w:ilvl="6">
      <w:start w:val="1"/>
      <w:numFmt w:val="decimal"/>
      <w:suff w:val="nothing"/>
      <w:lvlText w:val="%1.%2.%3.%4.%5.%6.%7　"/>
      <w:lvlJc w:val="left"/>
      <w:pPr>
        <w:ind w:left="0" w:firstLine="0"/>
      </w:pPr>
      <w:rPr>
        <w:rFonts w:ascii="黑体" w:eastAsia="黑体" w:hAnsi="Times New Roman" w:hint="eastAsia"/>
        <w:b/>
        <w:i w:val="0"/>
        <w:sz w:val="21"/>
      </w:rPr>
    </w:lvl>
    <w:lvl w:ilvl="7">
      <w:start w:val="1"/>
      <w:numFmt w:val="none"/>
      <w:lvlRestart w:val="1"/>
      <w:lvlText w:val="表 %1."/>
      <w:lvlJc w:val="left"/>
      <w:pPr>
        <w:tabs>
          <w:tab w:val="left" w:pos="720"/>
        </w:tabs>
        <w:ind w:left="0" w:firstLine="0"/>
      </w:pPr>
      <w:rPr>
        <w:rFonts w:ascii="黑体" w:eastAsia="黑体" w:hint="eastAsia"/>
        <w:b/>
        <w:i w:val="0"/>
        <w:sz w:val="20"/>
      </w:rPr>
    </w:lvl>
    <w:lvl w:ilvl="8">
      <w:start w:val="1"/>
      <w:numFmt w:val="none"/>
      <w:lvlRestart w:val="1"/>
      <w:lvlText w:val="图 %1."/>
      <w:lvlJc w:val="left"/>
      <w:pPr>
        <w:tabs>
          <w:tab w:val="left" w:pos="720"/>
        </w:tabs>
        <w:ind w:left="0" w:firstLine="0"/>
      </w:pPr>
      <w:rPr>
        <w:rFonts w:ascii="黑体" w:eastAsia="黑体" w:hint="eastAsia"/>
        <w:b/>
        <w:i w:val="0"/>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next w:val="BodyText"/>
    <w:qFormat/>
    <w:pPr>
      <w:widowControl w:val="0"/>
      <w:jc w:val="both"/>
    </w:pPr>
    <w:rPr>
      <w:rFonts w:asciiTheme="minorHAnsi" w:eastAsiaTheme="minorEastAsia" w:hAnsiTheme="minorHAnsi" w:cstheme="minorBidi"/>
      <w:kern w:val="2"/>
      <w:sz w:val="21"/>
      <w:szCs w:val="24"/>
      <w:lang w:val="en-US" w:eastAsia="zh-CN" w:bidi="ar-SA"/>
    </w:rPr>
  </w:style>
  <w:style w:type="paragraph" w:styleId="Heading1">
    <w:name w:val="heading 1"/>
    <w:basedOn w:val="Normal"/>
    <w:next w:val="Normal"/>
    <w:qFormat/>
    <w:pPr>
      <w:keepNext/>
      <w:keepLines/>
      <w:widowControl/>
      <w:spacing w:line="360" w:lineRule="auto"/>
      <w:outlineLvl w:val="0"/>
    </w:pPr>
    <w:rPr>
      <w:b/>
      <w:bCs/>
      <w:kern w:val="44"/>
      <w:sz w:val="24"/>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BodyText">
    <w:name w:val="Body Text"/>
    <w:basedOn w:val="Normal"/>
    <w:next w:val="Normal"/>
    <w:qFormat/>
    <w:pPr>
      <w:spacing w:after="120"/>
      <w:jc w:val="left"/>
    </w:pPr>
    <w:rPr>
      <w:rFonts w:eastAsia="宋体" w:cs="Times New Roman"/>
      <w:color w:val="000000"/>
      <w:sz w:val="32"/>
    </w:rPr>
  </w:style>
  <w:style w:type="paragraph" w:styleId="Footer">
    <w:name w:val="footer"/>
    <w:basedOn w:val="Normal"/>
    <w:qFormat/>
    <w:pPr>
      <w:tabs>
        <w:tab w:val="center" w:pos="4153"/>
        <w:tab w:val="right" w:pos="8306"/>
      </w:tabs>
      <w:snapToGrid w:val="0"/>
      <w:jc w:val="left"/>
    </w:pPr>
  </w:style>
  <w:style w:type="paragraph" w:styleId="Header">
    <w:name w:val="header"/>
    <w:basedOn w:val="Normal"/>
    <w:qFormat/>
    <w:pPr>
      <w:pBdr>
        <w:bottom w:val="single" w:sz="6" w:space="1" w:color="auto"/>
      </w:pBdr>
      <w:tabs>
        <w:tab w:val="center" w:pos="4153"/>
        <w:tab w:val="right" w:pos="8306"/>
      </w:tabs>
      <w:snapToGrid w:val="0"/>
      <w:jc w:val="center"/>
    </w:pPr>
  </w:style>
  <w:style w:type="paragraph" w:styleId="Title">
    <w:name w:val="Title"/>
    <w:basedOn w:val="Normal"/>
    <w:next w:val="Normal"/>
    <w:qFormat/>
    <w:pPr>
      <w:widowControl/>
      <w:spacing w:before="240" w:after="60" w:line="560" w:lineRule="exact"/>
      <w:jc w:val="center"/>
      <w:outlineLvl w:val="0"/>
    </w:pPr>
    <w:rPr>
      <w:rFonts w:ascii="Arial" w:eastAsia="华文中宋" w:hAnsi="Arial" w:cs="Arial"/>
      <w:bCs/>
      <w:color w:val="FF0000"/>
      <w:kern w:val="0"/>
      <w:sz w:val="84"/>
      <w:szCs w:val="32"/>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qFormat/>
    <w:rPr>
      <w:rFonts w:cs="Times New Roman"/>
    </w:rPr>
  </w:style>
  <w:style w:type="paragraph" w:customStyle="1" w:styleId="yq1">
    <w:name w:val="yq标题1"/>
    <w:basedOn w:val="Heading1"/>
    <w:qFormat/>
    <w:pPr>
      <w:numPr>
        <w:ilvl w:val="0"/>
        <w:numId w:val="1"/>
      </w:numPr>
      <w:ind w:firstLine="0"/>
      <w:jc w:val="left"/>
    </w:pPr>
    <w:rPr>
      <w:rFonts w:ascii="黑体" w:eastAsia="黑体" w:hAnsi="黑体"/>
      <w:szCs w:val="24"/>
    </w:rPr>
  </w:style>
  <w:style w:type="paragraph" w:customStyle="1" w:styleId="a">
    <w:name w:val="附录章标题"/>
    <w:next w:val="a0"/>
    <w:qFormat/>
    <w:pPr>
      <w:numPr>
        <w:ilvl w:val="1"/>
        <w:numId w:val="2"/>
      </w:numPr>
      <w:wordWrap w:val="0"/>
      <w:overflowPunct w:val="0"/>
      <w:autoSpaceDE w:val="0"/>
      <w:spacing w:beforeLines="50" w:afterLines="50"/>
      <w:jc w:val="both"/>
      <w:textAlignment w:val="baseline"/>
      <w:outlineLvl w:val="1"/>
    </w:pPr>
    <w:rPr>
      <w:rFonts w:ascii="黑体" w:eastAsia="黑体" w:hAnsi="Times New Roman" w:cs="Times New Roman"/>
      <w:b/>
      <w:kern w:val="21"/>
      <w:sz w:val="21"/>
      <w:lang w:val="en-US" w:eastAsia="zh-CN" w:bidi="ar-SA"/>
    </w:rPr>
  </w:style>
  <w:style w:type="paragraph" w:customStyle="1" w:styleId="a0">
    <w:name w:val="段"/>
    <w:qFormat/>
    <w:pPr>
      <w:ind w:firstLine="200" w:firstLineChars="200"/>
      <w:jc w:val="both"/>
    </w:pPr>
    <w:rPr>
      <w:rFonts w:ascii="宋体" w:eastAsia="宋体" w:hAnsi="Times New Roman" w:cs="Times New Roman"/>
      <w:sz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header" Target="header1.xml"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黄梦喜</cp:lastModifiedBy>
  <cp:revision>1</cp:revision>
  <dcterms:created xsi:type="dcterms:W3CDTF">2024-08-11T12:17:00Z</dcterms:created>
  <dcterms:modified xsi:type="dcterms:W3CDTF">2024-08-14T09:12:12Z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E475EBA3CDE94CF09FC61579DDFD30BD</vt:lpwstr>
  </property>
  <property fmtid="{D5CDD505-2E9C-101B-9397-08002B2CF9AE}" pid="3" name="KSOProductBuildVer">
    <vt:lpwstr>2052-11.8.2.12085</vt:lpwstr>
  </property>
</Properties>
</file>